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493EB3" w14:paraId="6CBC98B4" w14:textId="77777777" w:rsidTr="00261DEE">
        <w:trPr>
          <w:cantSplit/>
          <w:trHeight w:val="851"/>
        </w:trPr>
        <w:tc>
          <w:tcPr>
            <w:tcW w:w="2203" w:type="dxa"/>
          </w:tcPr>
          <w:p w14:paraId="1580AD85" w14:textId="77777777" w:rsidR="008978DE" w:rsidRPr="00493EB3" w:rsidRDefault="000E6020">
            <w:pPr>
              <w:jc w:val="center"/>
              <w:rPr>
                <w:rFonts w:ascii="Arial" w:hAnsi="Arial"/>
              </w:rPr>
            </w:pPr>
            <w:r>
              <w:rPr>
                <w:noProof/>
              </w:rPr>
              <w:drawing>
                <wp:anchor distT="0" distB="0" distL="114300" distR="114300" simplePos="0" relativeHeight="251659264" behindDoc="1" locked="0" layoutInCell="1" allowOverlap="1" wp14:anchorId="4E3CDF92" wp14:editId="1059CC1E">
                  <wp:simplePos x="0" y="0"/>
                  <wp:positionH relativeFrom="column">
                    <wp:posOffset>-1905</wp:posOffset>
                  </wp:positionH>
                  <wp:positionV relativeFrom="paragraph">
                    <wp:posOffset>4445</wp:posOffset>
                  </wp:positionV>
                  <wp:extent cx="1365250" cy="76835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250" cy="768350"/>
                          </a:xfrm>
                          <a:prstGeom prst="rect">
                            <a:avLst/>
                          </a:prstGeom>
                          <a:noFill/>
                          <a:ln>
                            <a:noFill/>
                          </a:ln>
                        </pic:spPr>
                      </pic:pic>
                    </a:graphicData>
                  </a:graphic>
                  <wp14:sizeRelH relativeFrom="page">
                    <wp14:pctWidth>0</wp14:pctWidth>
                  </wp14:sizeRelH>
                  <wp14:sizeRelV relativeFrom="margin">
                    <wp14:pctHeight>0</wp14:pctHeight>
                  </wp14:sizeRelV>
                </wp:anchor>
              </w:drawing>
            </w:r>
          </w:p>
        </w:tc>
        <w:tc>
          <w:tcPr>
            <w:tcW w:w="6662" w:type="dxa"/>
          </w:tcPr>
          <w:p w14:paraId="048D88E2" w14:textId="7D9BD497" w:rsidR="008978DE" w:rsidRPr="00493EB3" w:rsidRDefault="001A22B8">
            <w:pPr>
              <w:spacing w:before="120"/>
              <w:jc w:val="center"/>
              <w:rPr>
                <w:rFonts w:ascii="Arial" w:hAnsi="Arial"/>
                <w:sz w:val="36"/>
              </w:rPr>
            </w:pPr>
            <w:r w:rsidRPr="001A22B8">
              <w:rPr>
                <w:rFonts w:ascii="Arial" w:hAnsi="Arial"/>
                <w:sz w:val="36"/>
              </w:rPr>
              <w:t xml:space="preserve">Certificate </w:t>
            </w:r>
            <w:proofErr w:type="gramStart"/>
            <w:r w:rsidRPr="001A22B8">
              <w:rPr>
                <w:rFonts w:ascii="Arial" w:hAnsi="Arial"/>
                <w:sz w:val="36"/>
              </w:rPr>
              <w:t>supplement</w:t>
            </w:r>
            <w:r w:rsidR="00261DEE">
              <w:rPr>
                <w:rFonts w:ascii="Arial" w:hAnsi="Arial"/>
                <w:sz w:val="36"/>
                <w:vertAlign w:val="superscript"/>
              </w:rPr>
              <w:t>(</w:t>
            </w:r>
            <w:proofErr w:type="gramEnd"/>
            <w:r w:rsidR="00261DEE">
              <w:rPr>
                <w:rFonts w:ascii="Arial" w:hAnsi="Arial"/>
                <w:sz w:val="36"/>
                <w:vertAlign w:val="superscript"/>
              </w:rPr>
              <w:t>*)</w:t>
            </w:r>
          </w:p>
        </w:tc>
        <w:tc>
          <w:tcPr>
            <w:tcW w:w="1485" w:type="dxa"/>
          </w:tcPr>
          <w:p w14:paraId="44C8F71B" w14:textId="77777777" w:rsidR="008978DE" w:rsidRPr="00493EB3" w:rsidRDefault="008978DE">
            <w:pPr>
              <w:jc w:val="center"/>
              <w:rPr>
                <w:rFonts w:ascii="Arial" w:hAnsi="Arial"/>
                <w:sz w:val="16"/>
              </w:rPr>
            </w:pPr>
            <w:r>
              <w:rPr>
                <w:rFonts w:ascii="Arial" w:hAnsi="Arial"/>
                <w:sz w:val="16"/>
              </w:rPr>
              <w:t xml:space="preserve"> </w:t>
            </w:r>
            <w:r w:rsidR="0054207D" w:rsidRPr="00E02A2C">
              <w:rPr>
                <w:noProof/>
              </w:rPr>
              <w:drawing>
                <wp:inline distT="0" distB="0" distL="0" distR="0" wp14:anchorId="5FF859D6" wp14:editId="559B56C2">
                  <wp:extent cx="809625" cy="409575"/>
                  <wp:effectExtent l="0" t="0" r="0" b="0"/>
                  <wp:docPr id="1"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noFill/>
                          <a:ln>
                            <a:noFill/>
                          </a:ln>
                        </pic:spPr>
                      </pic:pic>
                    </a:graphicData>
                  </a:graphic>
                </wp:inline>
              </w:drawing>
            </w:r>
            <w:r>
              <w:rPr>
                <w:rFonts w:ascii="Arial" w:hAnsi="Arial"/>
                <w:sz w:val="16"/>
              </w:rPr>
              <w:t>Latvia</w:t>
            </w:r>
          </w:p>
        </w:tc>
      </w:tr>
    </w:tbl>
    <w:p w14:paraId="1A3B1FB0" w14:textId="77777777" w:rsidR="007B0255" w:rsidRPr="00493EB3" w:rsidRDefault="007B0255" w:rsidP="009E1482">
      <w:pPr>
        <w:rPr>
          <w:rFonts w:ascii="Arial" w:hAnsi="Arial"/>
          <w:color w:val="000000"/>
          <w:sz w:val="22"/>
          <w:lang w:val="lv-LV"/>
        </w:rPr>
      </w:pPr>
    </w:p>
    <w:p w14:paraId="693B64CC" w14:textId="6AA52DEE" w:rsidR="007B0255" w:rsidRPr="00493EB3" w:rsidRDefault="001A22B8" w:rsidP="000E2812">
      <w:r w:rsidRPr="001A22B8">
        <w:rPr>
          <w:rFonts w:ascii="Arial" w:hAnsi="Arial"/>
          <w:sz w:val="22"/>
        </w:rPr>
        <w:t xml:space="preserve">Series of the Certificate </w:t>
      </w:r>
      <w:r w:rsidR="007B0255">
        <w:rPr>
          <w:color w:val="1F3864"/>
          <w:sz w:val="22"/>
        </w:rPr>
        <w:t>____________</w:t>
      </w:r>
      <w:r w:rsidR="007B0255">
        <w:rPr>
          <w:rFonts w:ascii="Arial" w:hAnsi="Arial"/>
          <w:sz w:val="22"/>
        </w:rPr>
        <w:t xml:space="preserve"> No</w:t>
      </w:r>
      <w:r w:rsidR="007B0255">
        <w:t xml:space="preserve"> </w:t>
      </w:r>
      <w:r w:rsidR="007B0255">
        <w:rPr>
          <w:color w:val="1F3864"/>
          <w:sz w:val="22"/>
        </w:rPr>
        <w:t>_____________</w:t>
      </w:r>
    </w:p>
    <w:p w14:paraId="2696D95A" w14:textId="77777777" w:rsidR="007B0255" w:rsidRPr="00493EB3"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493EB3" w14:paraId="6A72E299" w14:textId="77777777" w:rsidTr="00872D7E">
        <w:tc>
          <w:tcPr>
            <w:tcW w:w="10207" w:type="dxa"/>
            <w:tcBorders>
              <w:top w:val="double" w:sz="4" w:space="0" w:color="auto"/>
            </w:tcBorders>
            <w:shd w:val="clear" w:color="auto" w:fill="D9D9D9"/>
          </w:tcPr>
          <w:p w14:paraId="041D131D" w14:textId="0319BD07" w:rsidR="008978DE" w:rsidRPr="00493EB3" w:rsidRDefault="008978DE" w:rsidP="00A002BE">
            <w:pPr>
              <w:spacing w:before="120" w:after="120"/>
              <w:jc w:val="center"/>
              <w:rPr>
                <w:rFonts w:ascii="Arial" w:hAnsi="Arial"/>
                <w:b/>
              </w:rPr>
            </w:pPr>
            <w:r>
              <w:rPr>
                <w:rFonts w:ascii="Arial" w:hAnsi="Arial"/>
                <w:b/>
              </w:rPr>
              <w:t>1. </w:t>
            </w:r>
            <w:r w:rsidR="001A22B8" w:rsidRPr="001A22B8">
              <w:rPr>
                <w:rFonts w:ascii="Arial" w:hAnsi="Arial"/>
                <w:b/>
              </w:rPr>
              <w:t xml:space="preserve">Title of the </w:t>
            </w:r>
            <w:proofErr w:type="gramStart"/>
            <w:r w:rsidR="001A22B8" w:rsidRPr="001A22B8">
              <w:rPr>
                <w:rFonts w:ascii="Arial" w:hAnsi="Arial"/>
                <w:b/>
              </w:rPr>
              <w:t>Certificate</w:t>
            </w:r>
            <w:r>
              <w:rPr>
                <w:rFonts w:ascii="Arial" w:hAnsi="Arial"/>
                <w:b/>
                <w:vertAlign w:val="superscript"/>
              </w:rPr>
              <w:t>(</w:t>
            </w:r>
            <w:proofErr w:type="gramEnd"/>
            <w:r>
              <w:rPr>
                <w:rFonts w:ascii="Arial" w:hAnsi="Arial"/>
                <w:b/>
                <w:vertAlign w:val="superscript"/>
              </w:rPr>
              <w:t>1)</w:t>
            </w:r>
          </w:p>
        </w:tc>
      </w:tr>
      <w:tr w:rsidR="008978DE" w:rsidRPr="00060DE6" w14:paraId="463AAB56" w14:textId="77777777" w:rsidTr="005046F9">
        <w:trPr>
          <w:cantSplit/>
          <w:trHeight w:val="946"/>
        </w:trPr>
        <w:tc>
          <w:tcPr>
            <w:tcW w:w="10207" w:type="dxa"/>
          </w:tcPr>
          <w:p w14:paraId="546C0815" w14:textId="77777777" w:rsidR="00BA275F" w:rsidRPr="00493EB3" w:rsidRDefault="000A5D30" w:rsidP="00A002BE">
            <w:pPr>
              <w:spacing w:before="120"/>
              <w:rPr>
                <w:sz w:val="24"/>
                <w:szCs w:val="24"/>
              </w:rPr>
            </w:pPr>
            <w:r>
              <w:rPr>
                <w:rFonts w:ascii="MS Gothic" w:eastAsia="MS Gothic" w:hAnsi="MS Gothic" w:hint="eastAsia"/>
                <w:sz w:val="24"/>
                <w:szCs w:val="24"/>
                <w:lang w:val="lv-LV"/>
              </w:rPr>
              <w:t>☐</w:t>
            </w:r>
            <w:r w:rsidR="004550D4">
              <w:rPr>
                <w:sz w:val="24"/>
              </w:rPr>
              <w:t xml:space="preserve"> </w:t>
            </w:r>
            <w:proofErr w:type="spellStart"/>
            <w:r w:rsidR="004550D4">
              <w:rPr>
                <w:sz w:val="24"/>
              </w:rPr>
              <w:t>Diploms</w:t>
            </w:r>
            <w:proofErr w:type="spellEnd"/>
            <w:r w:rsidR="004550D4">
              <w:rPr>
                <w:sz w:val="24"/>
              </w:rPr>
              <w:t xml:space="preserve"> par </w:t>
            </w:r>
            <w:proofErr w:type="spellStart"/>
            <w:r w:rsidR="004550D4">
              <w:rPr>
                <w:sz w:val="24"/>
              </w:rPr>
              <w:t>profesionālo</w:t>
            </w:r>
            <w:proofErr w:type="spellEnd"/>
            <w:r w:rsidR="004550D4">
              <w:rPr>
                <w:sz w:val="24"/>
              </w:rPr>
              <w:t xml:space="preserve"> </w:t>
            </w:r>
            <w:proofErr w:type="spellStart"/>
            <w:r w:rsidR="004550D4">
              <w:rPr>
                <w:sz w:val="24"/>
              </w:rPr>
              <w:t>vidējo</w:t>
            </w:r>
            <w:proofErr w:type="spellEnd"/>
            <w:r w:rsidR="004550D4">
              <w:rPr>
                <w:sz w:val="24"/>
              </w:rPr>
              <w:t xml:space="preserve"> </w:t>
            </w:r>
            <w:proofErr w:type="spellStart"/>
            <w:r w:rsidR="004550D4">
              <w:rPr>
                <w:sz w:val="24"/>
              </w:rPr>
              <w:t>izglītību</w:t>
            </w:r>
            <w:proofErr w:type="spellEnd"/>
          </w:p>
          <w:p w14:paraId="4F7EFB2C" w14:textId="77777777" w:rsidR="008978DE" w:rsidRPr="00493EB3" w:rsidRDefault="000A5D30" w:rsidP="00DE63F6">
            <w:pPr>
              <w:rPr>
                <w:sz w:val="24"/>
                <w:szCs w:val="24"/>
              </w:rPr>
            </w:pPr>
            <w:r>
              <w:rPr>
                <w:rFonts w:ascii="MS Gothic" w:eastAsia="MS Gothic" w:hAnsi="MS Gothic" w:hint="eastAsia"/>
                <w:sz w:val="24"/>
                <w:szCs w:val="24"/>
                <w:lang w:val="lv-LV"/>
              </w:rPr>
              <w:t>☐</w:t>
            </w:r>
            <w:r w:rsidR="004550D4">
              <w:rPr>
                <w:sz w:val="24"/>
              </w:rPr>
              <w:t xml:space="preserve"> </w:t>
            </w:r>
            <w:proofErr w:type="spellStart"/>
            <w:r w:rsidR="004550D4">
              <w:rPr>
                <w:sz w:val="24"/>
              </w:rPr>
              <w:t>Profesionālās</w:t>
            </w:r>
            <w:proofErr w:type="spellEnd"/>
            <w:r w:rsidR="004550D4">
              <w:rPr>
                <w:sz w:val="24"/>
              </w:rPr>
              <w:t xml:space="preserve"> </w:t>
            </w:r>
            <w:proofErr w:type="spellStart"/>
            <w:r w:rsidR="004550D4">
              <w:rPr>
                <w:sz w:val="24"/>
              </w:rPr>
              <w:t>kvalifikācijas</w:t>
            </w:r>
            <w:proofErr w:type="spellEnd"/>
            <w:r w:rsidR="004550D4">
              <w:rPr>
                <w:sz w:val="24"/>
              </w:rPr>
              <w:t xml:space="preserve"> </w:t>
            </w:r>
            <w:proofErr w:type="spellStart"/>
            <w:r w:rsidR="004550D4">
              <w:rPr>
                <w:sz w:val="24"/>
              </w:rPr>
              <w:t>apliecība</w:t>
            </w:r>
            <w:proofErr w:type="spellEnd"/>
          </w:p>
          <w:p w14:paraId="5576B640" w14:textId="77777777" w:rsidR="000751C3" w:rsidRPr="00AF7B2A" w:rsidRDefault="0079496C" w:rsidP="008E42E0">
            <w:pPr>
              <w:jc w:val="center"/>
              <w:rPr>
                <w:b/>
                <w:color w:val="002060"/>
                <w:sz w:val="28"/>
                <w:szCs w:val="28"/>
              </w:rPr>
            </w:pPr>
            <w:proofErr w:type="spellStart"/>
            <w:r>
              <w:rPr>
                <w:sz w:val="24"/>
              </w:rPr>
              <w:t>Profesionālā</w:t>
            </w:r>
            <w:proofErr w:type="spellEnd"/>
            <w:r>
              <w:rPr>
                <w:sz w:val="24"/>
              </w:rPr>
              <w:t xml:space="preserve"> </w:t>
            </w:r>
            <w:proofErr w:type="spellStart"/>
            <w:r>
              <w:rPr>
                <w:sz w:val="24"/>
              </w:rPr>
              <w:t>kvalifikācija</w:t>
            </w:r>
            <w:proofErr w:type="spellEnd"/>
            <w:r>
              <w:rPr>
                <w:sz w:val="24"/>
              </w:rPr>
              <w:t xml:space="preserve">:  </w:t>
            </w:r>
            <w:proofErr w:type="spellStart"/>
            <w:r>
              <w:rPr>
                <w:b/>
                <w:sz w:val="28"/>
              </w:rPr>
              <w:t>Kuģa</w:t>
            </w:r>
            <w:proofErr w:type="spellEnd"/>
            <w:r>
              <w:rPr>
                <w:b/>
                <w:sz w:val="28"/>
              </w:rPr>
              <w:t xml:space="preserve"> </w:t>
            </w:r>
            <w:proofErr w:type="spellStart"/>
            <w:r>
              <w:rPr>
                <w:b/>
                <w:sz w:val="28"/>
              </w:rPr>
              <w:t>saldēšanas</w:t>
            </w:r>
            <w:proofErr w:type="spellEnd"/>
            <w:r>
              <w:rPr>
                <w:b/>
                <w:sz w:val="28"/>
              </w:rPr>
              <w:t xml:space="preserve"> </w:t>
            </w:r>
            <w:proofErr w:type="spellStart"/>
            <w:r>
              <w:rPr>
                <w:b/>
                <w:sz w:val="28"/>
              </w:rPr>
              <w:t>iekārtu</w:t>
            </w:r>
            <w:proofErr w:type="spellEnd"/>
            <w:r>
              <w:rPr>
                <w:b/>
                <w:sz w:val="28"/>
              </w:rPr>
              <w:t xml:space="preserve"> </w:t>
            </w:r>
            <w:proofErr w:type="spellStart"/>
            <w:r>
              <w:rPr>
                <w:b/>
                <w:sz w:val="28"/>
              </w:rPr>
              <w:t>mehāniķis</w:t>
            </w:r>
            <w:proofErr w:type="spellEnd"/>
          </w:p>
        </w:tc>
      </w:tr>
      <w:tr w:rsidR="008978DE" w:rsidRPr="00493EB3" w14:paraId="504DD1B6" w14:textId="77777777" w:rsidTr="00B023A6">
        <w:trPr>
          <w:cantSplit/>
          <w:trHeight w:val="220"/>
        </w:trPr>
        <w:tc>
          <w:tcPr>
            <w:tcW w:w="10207" w:type="dxa"/>
            <w:tcBorders>
              <w:bottom w:val="double" w:sz="4" w:space="0" w:color="auto"/>
            </w:tcBorders>
          </w:tcPr>
          <w:p w14:paraId="53CBE645" w14:textId="77777777" w:rsidR="008978DE" w:rsidRPr="00493EB3"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54731B7E" w14:textId="77777777" w:rsidR="00B023A6" w:rsidRPr="00493EB3" w:rsidRDefault="00B023A6">
      <w:pPr>
        <w:jc w:val="center"/>
        <w:rPr>
          <w:rFonts w:ascii="Arial" w:hAnsi="Arial"/>
          <w:sz w:val="16"/>
          <w:szCs w:val="16"/>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493EB3" w14:paraId="19E1D907" w14:textId="77777777" w:rsidTr="00872D7E">
        <w:tc>
          <w:tcPr>
            <w:tcW w:w="10207" w:type="dxa"/>
            <w:tcBorders>
              <w:top w:val="double" w:sz="4" w:space="0" w:color="auto"/>
            </w:tcBorders>
            <w:shd w:val="clear" w:color="auto" w:fill="D9D9D9"/>
          </w:tcPr>
          <w:p w14:paraId="5EF28B96" w14:textId="7E5395BB" w:rsidR="008978DE" w:rsidRPr="00493EB3" w:rsidRDefault="008978DE" w:rsidP="00A002BE">
            <w:pPr>
              <w:spacing w:before="120" w:after="120"/>
              <w:jc w:val="center"/>
              <w:rPr>
                <w:rFonts w:ascii="Arial" w:hAnsi="Arial"/>
                <w:b/>
              </w:rPr>
            </w:pPr>
            <w:r>
              <w:rPr>
                <w:rFonts w:ascii="Arial" w:hAnsi="Arial"/>
                <w:b/>
              </w:rPr>
              <w:t>2. </w:t>
            </w:r>
            <w:r w:rsidR="001A22B8" w:rsidRPr="001A22B8">
              <w:rPr>
                <w:rFonts w:ascii="Arial" w:hAnsi="Arial"/>
                <w:b/>
              </w:rPr>
              <w:t xml:space="preserve">Translated title of the </w:t>
            </w:r>
            <w:proofErr w:type="gramStart"/>
            <w:r w:rsidR="001A22B8" w:rsidRPr="001A22B8">
              <w:rPr>
                <w:rFonts w:ascii="Arial" w:hAnsi="Arial"/>
                <w:b/>
              </w:rPr>
              <w:t>Certificate</w:t>
            </w:r>
            <w:r>
              <w:rPr>
                <w:rFonts w:ascii="Arial" w:hAnsi="Arial"/>
                <w:b/>
                <w:vertAlign w:val="superscript"/>
              </w:rPr>
              <w:t>(</w:t>
            </w:r>
            <w:proofErr w:type="gramEnd"/>
            <w:r>
              <w:rPr>
                <w:rFonts w:ascii="Arial" w:hAnsi="Arial"/>
                <w:b/>
                <w:vertAlign w:val="superscript"/>
              </w:rPr>
              <w:t>2)</w:t>
            </w:r>
          </w:p>
        </w:tc>
      </w:tr>
      <w:tr w:rsidR="008978DE" w:rsidRPr="00493EB3" w14:paraId="2298FA23" w14:textId="77777777" w:rsidTr="000A654D">
        <w:trPr>
          <w:trHeight w:val="1032"/>
        </w:trPr>
        <w:tc>
          <w:tcPr>
            <w:tcW w:w="10207" w:type="dxa"/>
          </w:tcPr>
          <w:p w14:paraId="084FABBA" w14:textId="55C30BFC" w:rsidR="00BA275F" w:rsidRPr="00493EB3" w:rsidRDefault="000A5D30"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4550D4">
              <w:rPr>
                <w:sz w:val="24"/>
              </w:rPr>
              <w:t xml:space="preserve"> </w:t>
            </w:r>
            <w:r w:rsidR="001A22B8">
              <w:rPr>
                <w:sz w:val="24"/>
                <w:shd w:val="clear" w:color="auto" w:fill="FFFFFF"/>
              </w:rPr>
              <w:t>D</w:t>
            </w:r>
            <w:r w:rsidR="004550D4">
              <w:rPr>
                <w:sz w:val="24"/>
                <w:shd w:val="clear" w:color="auto" w:fill="FFFFFF"/>
              </w:rPr>
              <w:t>iploma of vocational secondary education</w:t>
            </w:r>
          </w:p>
          <w:p w14:paraId="737BAB4D" w14:textId="1A9777E2" w:rsidR="00D07181" w:rsidRPr="00493EB3" w:rsidRDefault="000A5D30" w:rsidP="00E90063">
            <w:pPr>
              <w:rPr>
                <w:rFonts w:ascii="Arial" w:hAnsi="Arial" w:cs="Arial"/>
                <w:shd w:val="clear" w:color="auto" w:fill="FFFFFF"/>
              </w:rPr>
            </w:pPr>
            <w:r>
              <w:rPr>
                <w:rFonts w:ascii="MS Gothic" w:eastAsia="MS Gothic" w:hAnsi="MS Gothic" w:hint="eastAsia"/>
                <w:sz w:val="24"/>
                <w:szCs w:val="24"/>
                <w:lang w:val="lv-LV"/>
              </w:rPr>
              <w:t>☐</w:t>
            </w:r>
            <w:r w:rsidR="004550D4">
              <w:rPr>
                <w:sz w:val="24"/>
              </w:rPr>
              <w:t xml:space="preserve"> </w:t>
            </w:r>
            <w:r w:rsidR="001A22B8">
              <w:rPr>
                <w:sz w:val="24"/>
              </w:rPr>
              <w:t>Certificate of professional</w:t>
            </w:r>
            <w:r w:rsidR="004550D4">
              <w:rPr>
                <w:sz w:val="24"/>
                <w:shd w:val="clear" w:color="auto" w:fill="FFFFFF"/>
              </w:rPr>
              <w:t xml:space="preserve"> qualification</w:t>
            </w:r>
          </w:p>
          <w:p w14:paraId="6A6793AB" w14:textId="78986C62" w:rsidR="00E90063" w:rsidRPr="00493EB3" w:rsidRDefault="001A22B8" w:rsidP="00386C7C">
            <w:pPr>
              <w:jc w:val="center"/>
              <w:rPr>
                <w:b/>
                <w:vertAlign w:val="subscript"/>
              </w:rPr>
            </w:pPr>
            <w:r w:rsidRPr="001A22B8">
              <w:rPr>
                <w:sz w:val="24"/>
                <w:shd w:val="clear" w:color="auto" w:fill="FFFFFF"/>
              </w:rPr>
              <w:t xml:space="preserve">Professional </w:t>
            </w:r>
            <w:r w:rsidR="00E90063">
              <w:rPr>
                <w:sz w:val="24"/>
                <w:shd w:val="clear" w:color="auto" w:fill="FFFFFF"/>
              </w:rPr>
              <w:t>qualification:</w:t>
            </w:r>
            <w:r w:rsidR="00814785">
              <w:rPr>
                <w:sz w:val="24"/>
                <w:shd w:val="clear" w:color="auto" w:fill="FFFFFF"/>
              </w:rPr>
              <w:t xml:space="preserve"> </w:t>
            </w:r>
            <w:r w:rsidR="00E90063" w:rsidRPr="00814785">
              <w:rPr>
                <w:b/>
                <w:bCs/>
                <w:sz w:val="28"/>
                <w:szCs w:val="22"/>
                <w:shd w:val="clear" w:color="auto" w:fill="FFFFFF"/>
              </w:rPr>
              <w:t>Refrigeration Engineer on Ships</w:t>
            </w:r>
            <w:r w:rsidR="00E90063" w:rsidRPr="00814785">
              <w:rPr>
                <w:sz w:val="28"/>
                <w:szCs w:val="22"/>
                <w:shd w:val="clear" w:color="auto" w:fill="FFFFFF"/>
              </w:rPr>
              <w:t xml:space="preserve">  </w:t>
            </w:r>
          </w:p>
        </w:tc>
      </w:tr>
      <w:tr w:rsidR="008978DE" w:rsidRPr="00493EB3" w14:paraId="3FE7C749" w14:textId="77777777" w:rsidTr="00B023A6">
        <w:trPr>
          <w:trHeight w:val="213"/>
        </w:trPr>
        <w:tc>
          <w:tcPr>
            <w:tcW w:w="10207" w:type="dxa"/>
            <w:tcBorders>
              <w:bottom w:val="double" w:sz="4" w:space="0" w:color="auto"/>
            </w:tcBorders>
          </w:tcPr>
          <w:p w14:paraId="61C0E395" w14:textId="77777777" w:rsidR="008978DE" w:rsidRPr="00493EB3"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39D51489" w14:textId="77777777" w:rsidR="00E03091" w:rsidRPr="00493EB3" w:rsidRDefault="00E03091" w:rsidP="00E03091">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493EB3" w14:paraId="0D84B150" w14:textId="77777777" w:rsidTr="00493EB3">
        <w:trPr>
          <w:trHeight w:val="249"/>
        </w:trPr>
        <w:tc>
          <w:tcPr>
            <w:tcW w:w="10207" w:type="dxa"/>
            <w:tcBorders>
              <w:top w:val="double" w:sz="4" w:space="0" w:color="auto"/>
            </w:tcBorders>
            <w:shd w:val="clear" w:color="auto" w:fill="D9D9D9"/>
          </w:tcPr>
          <w:p w14:paraId="3E819D84" w14:textId="56653A3B" w:rsidR="00E03091" w:rsidRPr="00493EB3" w:rsidRDefault="00E03091" w:rsidP="002E235A">
            <w:pPr>
              <w:pStyle w:val="CommentText"/>
              <w:spacing w:before="120" w:after="120"/>
              <w:jc w:val="center"/>
              <w:rPr>
                <w:rFonts w:ascii="Arial" w:hAnsi="Arial" w:cs="Arial"/>
                <w:b/>
              </w:rPr>
            </w:pPr>
            <w:r>
              <w:rPr>
                <w:rFonts w:ascii="Arial" w:hAnsi="Arial"/>
                <w:b/>
              </w:rPr>
              <w:t>3. </w:t>
            </w:r>
            <w:r w:rsidR="001A22B8" w:rsidRPr="001A22B8">
              <w:rPr>
                <w:rFonts w:ascii="Arial" w:hAnsi="Arial"/>
                <w:b/>
              </w:rPr>
              <w:t>Profile of competences</w:t>
            </w:r>
          </w:p>
        </w:tc>
      </w:tr>
      <w:tr w:rsidR="00E03091" w:rsidRPr="00493EB3" w14:paraId="51C2FCA1" w14:textId="77777777" w:rsidTr="001D0555">
        <w:trPr>
          <w:trHeight w:val="1250"/>
        </w:trPr>
        <w:tc>
          <w:tcPr>
            <w:tcW w:w="10207" w:type="dxa"/>
            <w:tcBorders>
              <w:bottom w:val="double" w:sz="4" w:space="0" w:color="auto"/>
            </w:tcBorders>
          </w:tcPr>
          <w:p w14:paraId="3693142B" w14:textId="77777777" w:rsidR="008E42E0" w:rsidRPr="007030A5" w:rsidRDefault="00FA6207" w:rsidP="00493EB3">
            <w:pPr>
              <w:jc w:val="both"/>
              <w:rPr>
                <w:noProof/>
              </w:rPr>
            </w:pPr>
            <w:r>
              <w:t xml:space="preserve">                A refrigeration engineer on ships operates the refrigeration systems in the engine rooms and on board, including the refrigeration systems for cargo holds and containers, air-conditioning systems, cargo handling systems for liquefied gas tankers, monitors their operation, ensuring that the technological regime for the carriage of cargo is observed, carries out maintenance and repairs, complies with the requirements of labour protection, maritime safety, environmental protection and applicable national and international legislation and good maritime practice. </w:t>
            </w:r>
          </w:p>
          <w:p w14:paraId="437981C0" w14:textId="77777777" w:rsidR="007030A5" w:rsidRPr="00AF7B2A" w:rsidRDefault="007030A5" w:rsidP="00493EB3">
            <w:pPr>
              <w:jc w:val="both"/>
              <w:rPr>
                <w:sz w:val="16"/>
                <w:szCs w:val="16"/>
                <w:lang w:val="lv-LV"/>
              </w:rPr>
            </w:pPr>
          </w:p>
          <w:p w14:paraId="27736B35" w14:textId="77777777" w:rsidR="00155B7F" w:rsidRPr="00AF7B2A" w:rsidRDefault="00790CF5" w:rsidP="00155B7F">
            <w:pPr>
              <w:jc w:val="both"/>
              <w:rPr>
                <w:color w:val="000000"/>
              </w:rPr>
            </w:pPr>
            <w:r>
              <w:t xml:space="preserve">Has acquired the additional competences of a refrigeration mechanics </w:t>
            </w:r>
            <w:r>
              <w:rPr>
                <w:color w:val="000000"/>
              </w:rPr>
              <w:t>to</w:t>
            </w:r>
            <w:r>
              <w:t xml:space="preserve"> perform the following professional duties and tasks:</w:t>
            </w:r>
          </w:p>
          <w:p w14:paraId="11E49C89" w14:textId="77777777" w:rsidR="00EE4D1F" w:rsidRPr="00EE4D1F" w:rsidRDefault="004B2B45" w:rsidP="00EE4D1F">
            <w:pPr>
              <w:jc w:val="both"/>
              <w:rPr>
                <w:noProof/>
              </w:rPr>
            </w:pPr>
            <w:r>
              <w:t>3.1. Operation of the ship's refrigeration system in accordance with the technological regime and operating rules:</w:t>
            </w:r>
          </w:p>
          <w:p w14:paraId="0A55E3CD" w14:textId="77777777" w:rsidR="00EE4D1F" w:rsidRPr="00EE4D1F" w:rsidRDefault="00EE4D1F" w:rsidP="00EE4D1F">
            <w:pPr>
              <w:ind w:firstLine="885"/>
              <w:jc w:val="both"/>
              <w:rPr>
                <w:noProof/>
              </w:rPr>
            </w:pPr>
            <w:r>
              <w:t xml:space="preserve">- prepare the refrigeration systems of the cargo holds of a reefer ship for </w:t>
            </w:r>
            <w:proofErr w:type="gramStart"/>
            <w:r>
              <w:t>operation;</w:t>
            </w:r>
            <w:proofErr w:type="gramEnd"/>
          </w:p>
          <w:p w14:paraId="1C10F383" w14:textId="77777777" w:rsidR="00EE4D1F" w:rsidRPr="00EE4D1F" w:rsidRDefault="00EE4D1F" w:rsidP="00EE4D1F">
            <w:pPr>
              <w:ind w:firstLine="885"/>
              <w:jc w:val="both"/>
              <w:rPr>
                <w:noProof/>
              </w:rPr>
            </w:pPr>
            <w:r>
              <w:t xml:space="preserve">- participate in the preparation of the cargo holds of a reefer ship for the reception of </w:t>
            </w:r>
            <w:proofErr w:type="gramStart"/>
            <w:r>
              <w:t>cargo;</w:t>
            </w:r>
            <w:proofErr w:type="gramEnd"/>
          </w:p>
          <w:p w14:paraId="515A995E" w14:textId="77777777" w:rsidR="00EE4D1F" w:rsidRPr="00EE4D1F" w:rsidRDefault="00EE4D1F" w:rsidP="00EE4D1F">
            <w:pPr>
              <w:ind w:firstLine="885"/>
              <w:jc w:val="both"/>
              <w:rPr>
                <w:noProof/>
              </w:rPr>
            </w:pPr>
            <w:r>
              <w:t xml:space="preserve">- connect reefer containers to the ship's power </w:t>
            </w:r>
            <w:proofErr w:type="gramStart"/>
            <w:r>
              <w:t>supply;</w:t>
            </w:r>
            <w:proofErr w:type="gramEnd"/>
          </w:p>
          <w:p w14:paraId="1BBA8E82" w14:textId="77777777" w:rsidR="00EE4D1F" w:rsidRPr="00EE4D1F" w:rsidRDefault="00EE4D1F" w:rsidP="00EE4D1F">
            <w:pPr>
              <w:ind w:firstLine="885"/>
              <w:jc w:val="both"/>
              <w:rPr>
                <w:noProof/>
              </w:rPr>
            </w:pPr>
            <w:r>
              <w:t xml:space="preserve">- prepare the ship's air-conditioning systems for </w:t>
            </w:r>
            <w:proofErr w:type="gramStart"/>
            <w:r>
              <w:t>operation;</w:t>
            </w:r>
            <w:proofErr w:type="gramEnd"/>
          </w:p>
          <w:p w14:paraId="5EF9BF28" w14:textId="77777777" w:rsidR="00EE4D1F" w:rsidRPr="00EE4D1F" w:rsidRDefault="00EE4D1F" w:rsidP="00EE4D1F">
            <w:pPr>
              <w:ind w:firstLine="885"/>
              <w:jc w:val="both"/>
              <w:rPr>
                <w:noProof/>
              </w:rPr>
            </w:pPr>
            <w:r>
              <w:t xml:space="preserve">- start the ship's refrigeration systems in accordance with the operational safety </w:t>
            </w:r>
            <w:proofErr w:type="gramStart"/>
            <w:r>
              <w:t>rules;</w:t>
            </w:r>
            <w:proofErr w:type="gramEnd"/>
          </w:p>
          <w:p w14:paraId="2E2748A2" w14:textId="25F67B47" w:rsidR="00EE4D1F" w:rsidRPr="00EE4D1F" w:rsidRDefault="00EE4D1F" w:rsidP="00EE4D1F">
            <w:pPr>
              <w:ind w:firstLine="885"/>
              <w:jc w:val="both"/>
              <w:rPr>
                <w:noProof/>
              </w:rPr>
            </w:pPr>
            <w:r>
              <w:t xml:space="preserve">- monitor the operation of the ship's refrigeration systems, in particular with regard to the temperature regime and </w:t>
            </w:r>
            <w:r w:rsidR="00E61E80">
              <w:tab/>
            </w:r>
            <w:r>
              <w:t xml:space="preserve">atmospheric </w:t>
            </w:r>
            <w:proofErr w:type="gramStart"/>
            <w:r>
              <w:t>composition;</w:t>
            </w:r>
            <w:proofErr w:type="gramEnd"/>
          </w:p>
          <w:p w14:paraId="341A464B" w14:textId="77777777" w:rsidR="00EE4D1F" w:rsidRDefault="00EE4D1F" w:rsidP="00EE4D1F">
            <w:pPr>
              <w:ind w:firstLine="885"/>
              <w:jc w:val="both"/>
              <w:rPr>
                <w:noProof/>
              </w:rPr>
            </w:pPr>
            <w:r>
              <w:t xml:space="preserve">- detect anomalies and failures in the operation of the ship's refrigeration systems, interpret them correctly and </w:t>
            </w:r>
          </w:p>
          <w:p w14:paraId="6F07841C" w14:textId="77777777" w:rsidR="00EE4D1F" w:rsidRPr="00EE4D1F" w:rsidRDefault="00EE4D1F" w:rsidP="00EE4D1F">
            <w:pPr>
              <w:ind w:firstLine="885"/>
              <w:jc w:val="both"/>
              <w:rPr>
                <w:noProof/>
              </w:rPr>
            </w:pPr>
            <w:r>
              <w:t xml:space="preserve">   take appropriate </w:t>
            </w:r>
            <w:proofErr w:type="gramStart"/>
            <w:r>
              <w:t>action;</w:t>
            </w:r>
            <w:proofErr w:type="gramEnd"/>
          </w:p>
          <w:p w14:paraId="0E641059" w14:textId="77777777" w:rsidR="00EE4D1F" w:rsidRPr="00EE4D1F" w:rsidRDefault="00EE4D1F" w:rsidP="00EE4D1F">
            <w:pPr>
              <w:ind w:firstLine="885"/>
              <w:jc w:val="both"/>
              <w:rPr>
                <w:noProof/>
              </w:rPr>
            </w:pPr>
            <w:r>
              <w:t>- maintain the operation logbook and other records of the ship's refrigeration systems.</w:t>
            </w:r>
          </w:p>
          <w:p w14:paraId="2FD3E8A5" w14:textId="77777777" w:rsidR="00144467" w:rsidRPr="00FA6207" w:rsidRDefault="00144467" w:rsidP="00144467">
            <w:pPr>
              <w:jc w:val="both"/>
              <w:rPr>
                <w:sz w:val="16"/>
                <w:szCs w:val="16"/>
                <w:lang w:val="lv-LV"/>
              </w:rPr>
            </w:pPr>
          </w:p>
          <w:p w14:paraId="6F90D243" w14:textId="77777777" w:rsidR="00EE4D1F" w:rsidRPr="00EE4D1F" w:rsidRDefault="00144467" w:rsidP="00EE4D1F">
            <w:pPr>
              <w:pStyle w:val="ListParagraph"/>
              <w:spacing w:after="0" w:line="240" w:lineRule="auto"/>
              <w:ind w:left="0"/>
              <w:jc w:val="both"/>
              <w:rPr>
                <w:rFonts w:ascii="Times New Roman" w:hAnsi="Times New Roman"/>
                <w:noProof/>
                <w:sz w:val="20"/>
                <w:szCs w:val="20"/>
              </w:rPr>
            </w:pPr>
            <w:r>
              <w:rPr>
                <w:rFonts w:ascii="Times New Roman" w:hAnsi="Times New Roman"/>
                <w:sz w:val="20"/>
              </w:rPr>
              <w:t>3.2. Maintenance and repair of the ship's refrigeration systems:</w:t>
            </w:r>
          </w:p>
          <w:p w14:paraId="0E1D3CDF" w14:textId="6659F23C" w:rsidR="00EE4D1F" w:rsidRPr="00F30D68" w:rsidRDefault="00FA6207" w:rsidP="00F30D68">
            <w:pPr>
              <w:pStyle w:val="ListParagraph"/>
              <w:spacing w:after="0" w:line="240" w:lineRule="auto"/>
              <w:ind w:left="-66" w:firstLine="951"/>
              <w:jc w:val="both"/>
              <w:rPr>
                <w:rFonts w:ascii="Times New Roman" w:hAnsi="Times New Roman"/>
                <w:noProof/>
                <w:sz w:val="20"/>
                <w:szCs w:val="20"/>
              </w:rPr>
            </w:pPr>
            <w:r>
              <w:rPr>
                <w:rFonts w:ascii="Times New Roman" w:hAnsi="Times New Roman"/>
                <w:sz w:val="20"/>
              </w:rPr>
              <w:t xml:space="preserve">- carry out maintenance and repair of the ship's refrigeration systems and components in accordance with the </w:t>
            </w:r>
            <w:r w:rsidR="00F30D68">
              <w:rPr>
                <w:rFonts w:ascii="Times New Roman" w:hAnsi="Times New Roman"/>
                <w:sz w:val="20"/>
              </w:rPr>
              <w:tab/>
            </w:r>
            <w:r w:rsidR="00F30D68">
              <w:rPr>
                <w:rFonts w:ascii="Times New Roman" w:hAnsi="Times New Roman"/>
                <w:sz w:val="20"/>
              </w:rPr>
              <w:tab/>
            </w:r>
            <w:r>
              <w:rPr>
                <w:rFonts w:ascii="Times New Roman" w:hAnsi="Times New Roman"/>
                <w:sz w:val="20"/>
              </w:rPr>
              <w:t>operation and repair</w:t>
            </w:r>
            <w:r w:rsidR="00F30D68">
              <w:rPr>
                <w:rFonts w:ascii="Times New Roman" w:hAnsi="Times New Roman"/>
                <w:sz w:val="20"/>
              </w:rPr>
              <w:t xml:space="preserve"> </w:t>
            </w:r>
            <w:r w:rsidRPr="00F30D68">
              <w:rPr>
                <w:rFonts w:ascii="Times New Roman" w:hAnsi="Times New Roman"/>
                <w:sz w:val="20"/>
              </w:rPr>
              <w:t xml:space="preserve">rules and good maritime </w:t>
            </w:r>
            <w:proofErr w:type="gramStart"/>
            <w:r w:rsidRPr="00F30D68">
              <w:rPr>
                <w:rFonts w:ascii="Times New Roman" w:hAnsi="Times New Roman"/>
                <w:sz w:val="20"/>
              </w:rPr>
              <w:t>practice;</w:t>
            </w:r>
            <w:proofErr w:type="gramEnd"/>
          </w:p>
          <w:p w14:paraId="3F80C702" w14:textId="1E962AE2" w:rsidR="00EE4D1F" w:rsidRPr="00F30D68" w:rsidRDefault="00FA6207" w:rsidP="00F30D68">
            <w:pPr>
              <w:pStyle w:val="ListParagraph"/>
              <w:spacing w:after="0" w:line="240" w:lineRule="auto"/>
              <w:ind w:left="0" w:firstLine="885"/>
              <w:jc w:val="both"/>
              <w:rPr>
                <w:rFonts w:ascii="Times New Roman" w:hAnsi="Times New Roman"/>
                <w:noProof/>
                <w:sz w:val="20"/>
                <w:szCs w:val="20"/>
              </w:rPr>
            </w:pPr>
            <w:r>
              <w:rPr>
                <w:rFonts w:ascii="Times New Roman" w:hAnsi="Times New Roman"/>
                <w:sz w:val="20"/>
              </w:rPr>
              <w:t xml:space="preserve">- resume operation of the ship's refrigeration systems in accordance with the operation and repair rules and good </w:t>
            </w:r>
            <w:r w:rsidR="00F30D68">
              <w:rPr>
                <w:rFonts w:ascii="Times New Roman" w:hAnsi="Times New Roman"/>
                <w:sz w:val="20"/>
              </w:rPr>
              <w:tab/>
            </w:r>
            <w:r>
              <w:rPr>
                <w:rFonts w:ascii="Times New Roman" w:hAnsi="Times New Roman"/>
                <w:sz w:val="20"/>
              </w:rPr>
              <w:t xml:space="preserve">maritime </w:t>
            </w:r>
            <w:proofErr w:type="gramStart"/>
            <w:r>
              <w:rPr>
                <w:rFonts w:ascii="Times New Roman" w:hAnsi="Times New Roman"/>
                <w:sz w:val="20"/>
              </w:rPr>
              <w:t>practice;</w:t>
            </w:r>
            <w:proofErr w:type="gramEnd"/>
            <w:r w:rsidRPr="00F30D68">
              <w:rPr>
                <w:rFonts w:ascii="Times New Roman" w:hAnsi="Times New Roman"/>
                <w:sz w:val="20"/>
              </w:rPr>
              <w:t xml:space="preserve">   </w:t>
            </w:r>
          </w:p>
          <w:p w14:paraId="4A5F6C3F" w14:textId="01F7E0D8" w:rsidR="00FA6207" w:rsidRDefault="00FA6207" w:rsidP="00FA6207">
            <w:pPr>
              <w:pStyle w:val="ListParagraph"/>
              <w:spacing w:after="0" w:line="240" w:lineRule="auto"/>
              <w:ind w:left="0" w:firstLine="885"/>
              <w:jc w:val="both"/>
              <w:rPr>
                <w:rFonts w:ascii="Times New Roman" w:hAnsi="Times New Roman"/>
                <w:noProof/>
                <w:sz w:val="20"/>
                <w:szCs w:val="20"/>
              </w:rPr>
            </w:pPr>
            <w:r>
              <w:rPr>
                <w:rFonts w:ascii="Times New Roman" w:hAnsi="Times New Roman"/>
                <w:sz w:val="20"/>
              </w:rPr>
              <w:t xml:space="preserve">- carry out an operational check of the ship's refrigeration systems in accordance with the operation and repair </w:t>
            </w:r>
            <w:r w:rsidR="00F30D68">
              <w:rPr>
                <w:rFonts w:ascii="Times New Roman" w:hAnsi="Times New Roman"/>
                <w:sz w:val="20"/>
              </w:rPr>
              <w:tab/>
            </w:r>
            <w:r>
              <w:rPr>
                <w:rFonts w:ascii="Times New Roman" w:hAnsi="Times New Roman"/>
                <w:sz w:val="20"/>
              </w:rPr>
              <w:t xml:space="preserve">rules and good maritime practice. </w:t>
            </w:r>
          </w:p>
          <w:p w14:paraId="49C88288" w14:textId="77777777" w:rsidR="00EE4D1F" w:rsidRPr="00EE4D1F" w:rsidRDefault="00FA6207" w:rsidP="00FA6207">
            <w:pPr>
              <w:pStyle w:val="ListParagraph"/>
              <w:spacing w:after="0" w:line="240" w:lineRule="auto"/>
              <w:ind w:left="0" w:firstLine="885"/>
              <w:jc w:val="both"/>
              <w:rPr>
                <w:rFonts w:ascii="Times New Roman" w:hAnsi="Times New Roman"/>
                <w:noProof/>
                <w:sz w:val="20"/>
                <w:szCs w:val="20"/>
              </w:rPr>
            </w:pPr>
            <w:r>
              <w:rPr>
                <w:rFonts w:ascii="Times New Roman" w:hAnsi="Times New Roman"/>
                <w:sz w:val="20"/>
              </w:rPr>
              <w:t xml:space="preserve">   </w:t>
            </w:r>
          </w:p>
          <w:p w14:paraId="2C44667C" w14:textId="77777777" w:rsidR="00144467" w:rsidRPr="00FA6207" w:rsidRDefault="00144467" w:rsidP="00144467">
            <w:pPr>
              <w:jc w:val="both"/>
              <w:rPr>
                <w:noProof/>
                <w:sz w:val="16"/>
                <w:szCs w:val="16"/>
                <w:lang w:val="lv-LV"/>
              </w:rPr>
            </w:pPr>
          </w:p>
          <w:p w14:paraId="571C7D09" w14:textId="77777777" w:rsidR="00FA6207" w:rsidRPr="00FA6207" w:rsidRDefault="00144467" w:rsidP="00FA6207">
            <w:pPr>
              <w:pStyle w:val="ListParagraph"/>
              <w:spacing w:after="0" w:line="240" w:lineRule="auto"/>
              <w:ind w:left="0"/>
              <w:jc w:val="both"/>
              <w:rPr>
                <w:rFonts w:ascii="Times New Roman" w:hAnsi="Times New Roman"/>
                <w:sz w:val="20"/>
                <w:szCs w:val="20"/>
              </w:rPr>
            </w:pPr>
            <w:r>
              <w:rPr>
                <w:rFonts w:ascii="Times New Roman" w:hAnsi="Times New Roman"/>
                <w:sz w:val="20"/>
              </w:rPr>
              <w:t>3.3. Operation of the cargo handling system of a liquefied gas tanker:</w:t>
            </w:r>
          </w:p>
          <w:p w14:paraId="7AF5A1E0" w14:textId="77777777" w:rsidR="00FA6207" w:rsidRPr="00FA6207" w:rsidRDefault="00FA6207" w:rsidP="00FA6207">
            <w:pPr>
              <w:pStyle w:val="ListParagraph"/>
              <w:spacing w:after="0" w:line="240" w:lineRule="auto"/>
              <w:ind w:left="450" w:firstLine="435"/>
              <w:jc w:val="both"/>
              <w:rPr>
                <w:rFonts w:ascii="Times New Roman" w:hAnsi="Times New Roman"/>
                <w:sz w:val="20"/>
                <w:szCs w:val="20"/>
              </w:rPr>
            </w:pPr>
            <w:r>
              <w:rPr>
                <w:rFonts w:ascii="Times New Roman" w:hAnsi="Times New Roman"/>
                <w:sz w:val="20"/>
              </w:rPr>
              <w:lastRenderedPageBreak/>
              <w:t xml:space="preserve">- prepare the liquefied gas tanker's cargo system, including cargo tanks and machinery, for cargo </w:t>
            </w:r>
            <w:proofErr w:type="gramStart"/>
            <w:r>
              <w:rPr>
                <w:rFonts w:ascii="Times New Roman" w:hAnsi="Times New Roman"/>
                <w:sz w:val="20"/>
              </w:rPr>
              <w:t>operations;</w:t>
            </w:r>
            <w:proofErr w:type="gramEnd"/>
          </w:p>
          <w:p w14:paraId="64FEA483" w14:textId="52A99C32" w:rsidR="00FA6207" w:rsidRPr="009F2D52" w:rsidRDefault="00FA6207" w:rsidP="009F2D52">
            <w:pPr>
              <w:pStyle w:val="ListParagraph"/>
              <w:spacing w:after="0" w:line="240" w:lineRule="auto"/>
              <w:ind w:left="450" w:firstLine="435"/>
              <w:jc w:val="both"/>
              <w:rPr>
                <w:rFonts w:ascii="Times New Roman" w:hAnsi="Times New Roman"/>
                <w:sz w:val="20"/>
                <w:szCs w:val="20"/>
              </w:rPr>
            </w:pPr>
            <w:r>
              <w:rPr>
                <w:rFonts w:ascii="Times New Roman" w:hAnsi="Times New Roman"/>
                <w:sz w:val="20"/>
              </w:rPr>
              <w:t>- monitor the compliance of the process of connection and disconnection of cargo loading pipelines and hoses</w:t>
            </w:r>
            <w:proofErr w:type="gramStart"/>
            <w:r>
              <w:rPr>
                <w:rFonts w:ascii="Times New Roman" w:hAnsi="Times New Roman"/>
                <w:sz w:val="20"/>
              </w:rPr>
              <w:t xml:space="preserve">, </w:t>
            </w:r>
            <w:r w:rsidR="009F2D52">
              <w:rPr>
                <w:rFonts w:ascii="Times New Roman" w:hAnsi="Times New Roman"/>
                <w:sz w:val="20"/>
              </w:rPr>
              <w:tab/>
            </w:r>
            <w:r>
              <w:rPr>
                <w:rFonts w:ascii="Times New Roman" w:hAnsi="Times New Roman"/>
                <w:sz w:val="20"/>
              </w:rPr>
              <w:t>including</w:t>
            </w:r>
            <w:proofErr w:type="gramEnd"/>
            <w:r>
              <w:rPr>
                <w:rFonts w:ascii="Times New Roman" w:hAnsi="Times New Roman"/>
                <w:sz w:val="20"/>
              </w:rPr>
              <w:t xml:space="preserve"> the gas vapor return pipeline, with the binding </w:t>
            </w:r>
            <w:proofErr w:type="gramStart"/>
            <w:r>
              <w:rPr>
                <w:rFonts w:ascii="Times New Roman" w:hAnsi="Times New Roman"/>
                <w:sz w:val="20"/>
              </w:rPr>
              <w:t>regulations;</w:t>
            </w:r>
            <w:proofErr w:type="gramEnd"/>
            <w:r w:rsidRPr="009F2D52">
              <w:rPr>
                <w:rFonts w:ascii="Times New Roman" w:hAnsi="Times New Roman"/>
                <w:sz w:val="20"/>
              </w:rPr>
              <w:t xml:space="preserve">  </w:t>
            </w:r>
          </w:p>
          <w:p w14:paraId="72CF36DC" w14:textId="7777F4CF" w:rsidR="00FA6207" w:rsidRPr="009F2D52" w:rsidRDefault="00FA6207" w:rsidP="009F2D52">
            <w:pPr>
              <w:pStyle w:val="ListParagraph"/>
              <w:spacing w:after="0" w:line="240" w:lineRule="auto"/>
              <w:ind w:left="450" w:firstLine="435"/>
              <w:jc w:val="both"/>
              <w:rPr>
                <w:rFonts w:ascii="Times New Roman" w:hAnsi="Times New Roman"/>
                <w:noProof/>
                <w:sz w:val="20"/>
                <w:szCs w:val="20"/>
              </w:rPr>
            </w:pPr>
            <w:r>
              <w:rPr>
                <w:rFonts w:ascii="Times New Roman" w:hAnsi="Times New Roman"/>
                <w:sz w:val="20"/>
              </w:rPr>
              <w:t xml:space="preserve">- ensure that the cargo system and its control gauges are functioning as planned during cargo operations in </w:t>
            </w:r>
            <w:r w:rsidR="009F2D52">
              <w:rPr>
                <w:rFonts w:ascii="Times New Roman" w:hAnsi="Times New Roman"/>
                <w:sz w:val="20"/>
              </w:rPr>
              <w:tab/>
            </w:r>
            <w:r>
              <w:rPr>
                <w:rFonts w:ascii="Times New Roman" w:hAnsi="Times New Roman"/>
                <w:sz w:val="20"/>
              </w:rPr>
              <w:t xml:space="preserve">accordance with the cargo plan and operating </w:t>
            </w:r>
            <w:proofErr w:type="gramStart"/>
            <w:r>
              <w:rPr>
                <w:rFonts w:ascii="Times New Roman" w:hAnsi="Times New Roman"/>
                <w:sz w:val="20"/>
              </w:rPr>
              <w:t>rules;</w:t>
            </w:r>
            <w:proofErr w:type="gramEnd"/>
          </w:p>
          <w:p w14:paraId="3310AA3E" w14:textId="5727873E" w:rsidR="00FA6207" w:rsidRPr="009F2D52" w:rsidRDefault="00FA6207" w:rsidP="009F2D52">
            <w:pPr>
              <w:pStyle w:val="ListParagraph"/>
              <w:spacing w:after="0" w:line="240" w:lineRule="auto"/>
              <w:ind w:left="450" w:firstLine="435"/>
              <w:jc w:val="both"/>
              <w:rPr>
                <w:rFonts w:ascii="Times New Roman" w:hAnsi="Times New Roman"/>
                <w:sz w:val="20"/>
                <w:szCs w:val="20"/>
              </w:rPr>
            </w:pPr>
            <w:r>
              <w:rPr>
                <w:rFonts w:ascii="Times New Roman" w:hAnsi="Times New Roman"/>
                <w:sz w:val="20"/>
              </w:rPr>
              <w:t xml:space="preserve">- maintain cargo parameters (temperature, pressure, atmospheric composition of tanks) during cargo operations </w:t>
            </w:r>
            <w:r w:rsidR="009F2D52">
              <w:rPr>
                <w:rFonts w:ascii="Times New Roman" w:hAnsi="Times New Roman"/>
                <w:sz w:val="20"/>
              </w:rPr>
              <w:tab/>
            </w:r>
            <w:r>
              <w:rPr>
                <w:rFonts w:ascii="Times New Roman" w:hAnsi="Times New Roman"/>
                <w:sz w:val="20"/>
              </w:rPr>
              <w:t>and transit</w:t>
            </w:r>
            <w:r w:rsidRPr="009F2D52">
              <w:rPr>
                <w:rFonts w:ascii="Times New Roman" w:hAnsi="Times New Roman"/>
                <w:sz w:val="20"/>
              </w:rPr>
              <w:t xml:space="preserve"> according to the cargo plan and the technological </w:t>
            </w:r>
            <w:proofErr w:type="gramStart"/>
            <w:r w:rsidRPr="009F2D52">
              <w:rPr>
                <w:rFonts w:ascii="Times New Roman" w:hAnsi="Times New Roman"/>
                <w:sz w:val="20"/>
              </w:rPr>
              <w:t>regime;</w:t>
            </w:r>
            <w:proofErr w:type="gramEnd"/>
          </w:p>
          <w:p w14:paraId="215FE5B1" w14:textId="227C49D0" w:rsidR="00FA6207" w:rsidRPr="00FA6207" w:rsidRDefault="00FA6207" w:rsidP="00FA6207">
            <w:pPr>
              <w:pStyle w:val="ListParagraph"/>
              <w:spacing w:after="0" w:line="240" w:lineRule="auto"/>
              <w:ind w:left="450" w:firstLine="435"/>
              <w:jc w:val="both"/>
              <w:rPr>
                <w:rFonts w:ascii="Times New Roman" w:hAnsi="Times New Roman"/>
                <w:sz w:val="20"/>
                <w:szCs w:val="20"/>
              </w:rPr>
            </w:pPr>
            <w:r>
              <w:rPr>
                <w:rFonts w:ascii="Times New Roman" w:hAnsi="Times New Roman"/>
                <w:sz w:val="20"/>
              </w:rPr>
              <w:t xml:space="preserve">- monitor the condition of the insulation and atmospheric composition of cargo tanks and pipelines within the </w:t>
            </w:r>
            <w:r w:rsidR="009F2D52">
              <w:rPr>
                <w:rFonts w:ascii="Times New Roman" w:hAnsi="Times New Roman"/>
                <w:sz w:val="20"/>
              </w:rPr>
              <w:tab/>
            </w:r>
            <w:r>
              <w:rPr>
                <w:rFonts w:ascii="Times New Roman" w:hAnsi="Times New Roman"/>
                <w:sz w:val="20"/>
              </w:rPr>
              <w:t xml:space="preserve">safety </w:t>
            </w:r>
            <w:proofErr w:type="gramStart"/>
            <w:r>
              <w:rPr>
                <w:rFonts w:ascii="Times New Roman" w:hAnsi="Times New Roman"/>
                <w:sz w:val="20"/>
              </w:rPr>
              <w:t>barriers;</w:t>
            </w:r>
            <w:proofErr w:type="gramEnd"/>
          </w:p>
          <w:p w14:paraId="76FB709E" w14:textId="152886CF" w:rsidR="00FA6207" w:rsidRDefault="00FA6207" w:rsidP="00FA6207">
            <w:pPr>
              <w:pStyle w:val="ListParagraph"/>
              <w:spacing w:after="0" w:line="240" w:lineRule="auto"/>
              <w:ind w:left="450" w:firstLine="435"/>
              <w:jc w:val="both"/>
            </w:pPr>
            <w:r>
              <w:rPr>
                <w:rFonts w:ascii="Times New Roman" w:hAnsi="Times New Roman"/>
                <w:sz w:val="20"/>
              </w:rPr>
              <w:t xml:space="preserve">- document the cargo parameters in the gas (cargo) operations logbook in accordance with the established </w:t>
            </w:r>
            <w:r w:rsidR="009F2D52">
              <w:rPr>
                <w:rFonts w:ascii="Times New Roman" w:hAnsi="Times New Roman"/>
                <w:sz w:val="20"/>
              </w:rPr>
              <w:tab/>
            </w:r>
            <w:r>
              <w:rPr>
                <w:rFonts w:ascii="Times New Roman" w:hAnsi="Times New Roman"/>
                <w:sz w:val="20"/>
              </w:rPr>
              <w:t>procedures.</w:t>
            </w:r>
          </w:p>
          <w:p w14:paraId="271C5BE1" w14:textId="77777777" w:rsidR="00144467" w:rsidRPr="00A907FB" w:rsidRDefault="00144467" w:rsidP="00144467">
            <w:pPr>
              <w:jc w:val="both"/>
              <w:rPr>
                <w:sz w:val="16"/>
                <w:szCs w:val="16"/>
                <w:lang w:val="lv-LV"/>
              </w:rPr>
            </w:pPr>
          </w:p>
          <w:p w14:paraId="05FD9198" w14:textId="77777777" w:rsidR="00FA6207" w:rsidRPr="00FA6207" w:rsidRDefault="00144467" w:rsidP="00FA6207">
            <w:pPr>
              <w:pStyle w:val="ListParagraph"/>
              <w:spacing w:after="0" w:line="240" w:lineRule="auto"/>
              <w:ind w:left="0"/>
              <w:jc w:val="both"/>
              <w:rPr>
                <w:rFonts w:ascii="Times New Roman" w:hAnsi="Times New Roman"/>
                <w:sz w:val="20"/>
                <w:szCs w:val="20"/>
              </w:rPr>
            </w:pPr>
            <w:r>
              <w:rPr>
                <w:rFonts w:ascii="Times New Roman" w:hAnsi="Times New Roman"/>
                <w:sz w:val="20"/>
              </w:rPr>
              <w:t>3.4. Maintenance and repair of liquefied gas tanker systems and components:</w:t>
            </w:r>
          </w:p>
          <w:p w14:paraId="54EE2AF2" w14:textId="3702BEEE" w:rsidR="00FA6207" w:rsidRPr="000513F7" w:rsidRDefault="00FA6207" w:rsidP="000513F7">
            <w:pPr>
              <w:pStyle w:val="ListParagraph"/>
              <w:spacing w:after="0" w:line="240" w:lineRule="auto"/>
              <w:ind w:left="294" w:firstLine="591"/>
              <w:jc w:val="both"/>
              <w:rPr>
                <w:rFonts w:ascii="Times New Roman" w:hAnsi="Times New Roman"/>
                <w:sz w:val="20"/>
                <w:szCs w:val="20"/>
              </w:rPr>
            </w:pPr>
            <w:r>
              <w:rPr>
                <w:rFonts w:ascii="Times New Roman" w:hAnsi="Times New Roman"/>
                <w:sz w:val="20"/>
              </w:rPr>
              <w:t xml:space="preserve">- carry out maintenance and repair of liquefied gas tanker systems and components in accordance with </w:t>
            </w:r>
            <w:r w:rsidRPr="000513F7">
              <w:rPr>
                <w:rFonts w:ascii="Times New Roman" w:hAnsi="Times New Roman"/>
                <w:sz w:val="20"/>
              </w:rPr>
              <w:t xml:space="preserve">operating </w:t>
            </w:r>
            <w:r w:rsidR="000513F7">
              <w:rPr>
                <w:rFonts w:ascii="Times New Roman" w:hAnsi="Times New Roman"/>
                <w:sz w:val="20"/>
              </w:rPr>
              <w:tab/>
            </w:r>
            <w:r w:rsidRPr="000513F7">
              <w:rPr>
                <w:rFonts w:ascii="Times New Roman" w:hAnsi="Times New Roman"/>
                <w:sz w:val="20"/>
              </w:rPr>
              <w:t xml:space="preserve">and repair rules and good maritime </w:t>
            </w:r>
            <w:proofErr w:type="gramStart"/>
            <w:r w:rsidRPr="000513F7">
              <w:rPr>
                <w:rFonts w:ascii="Times New Roman" w:hAnsi="Times New Roman"/>
                <w:sz w:val="20"/>
              </w:rPr>
              <w:t>practice;</w:t>
            </w:r>
            <w:proofErr w:type="gramEnd"/>
          </w:p>
          <w:p w14:paraId="1EDA919A" w14:textId="2FB653A8" w:rsidR="00FA6207" w:rsidRPr="000513F7" w:rsidRDefault="00FA6207" w:rsidP="000513F7">
            <w:pPr>
              <w:pStyle w:val="ListParagraph"/>
              <w:spacing w:after="0" w:line="240" w:lineRule="auto"/>
              <w:ind w:left="294" w:firstLine="591"/>
              <w:jc w:val="both"/>
              <w:rPr>
                <w:rFonts w:ascii="Times New Roman" w:hAnsi="Times New Roman"/>
                <w:sz w:val="20"/>
                <w:szCs w:val="20"/>
              </w:rPr>
            </w:pPr>
            <w:r>
              <w:rPr>
                <w:rFonts w:ascii="Times New Roman" w:hAnsi="Times New Roman"/>
                <w:sz w:val="20"/>
              </w:rPr>
              <w:t xml:space="preserve">- resume operation of liquefied gas tanker systems and components in accordance with the </w:t>
            </w:r>
            <w:r w:rsidRPr="000513F7">
              <w:rPr>
                <w:rFonts w:ascii="Times New Roman" w:hAnsi="Times New Roman"/>
                <w:sz w:val="20"/>
              </w:rPr>
              <w:t xml:space="preserve">operating and repair </w:t>
            </w:r>
            <w:r w:rsidR="000513F7">
              <w:rPr>
                <w:rFonts w:ascii="Times New Roman" w:hAnsi="Times New Roman"/>
                <w:sz w:val="20"/>
              </w:rPr>
              <w:tab/>
            </w:r>
            <w:r w:rsidRPr="000513F7">
              <w:rPr>
                <w:rFonts w:ascii="Times New Roman" w:hAnsi="Times New Roman"/>
                <w:sz w:val="20"/>
              </w:rPr>
              <w:t xml:space="preserve">rules and good maritime </w:t>
            </w:r>
            <w:proofErr w:type="gramStart"/>
            <w:r w:rsidRPr="000513F7">
              <w:rPr>
                <w:rFonts w:ascii="Times New Roman" w:hAnsi="Times New Roman"/>
                <w:sz w:val="20"/>
              </w:rPr>
              <w:t>practice;</w:t>
            </w:r>
            <w:proofErr w:type="gramEnd"/>
          </w:p>
          <w:p w14:paraId="4210729F" w14:textId="77777777" w:rsidR="00144467" w:rsidRPr="00A907FB" w:rsidRDefault="00144467" w:rsidP="00FA6207">
            <w:pPr>
              <w:ind w:firstLine="591"/>
              <w:jc w:val="both"/>
              <w:rPr>
                <w:sz w:val="16"/>
                <w:szCs w:val="16"/>
              </w:rPr>
            </w:pPr>
            <w:r>
              <w:t xml:space="preserve"> </w:t>
            </w:r>
          </w:p>
          <w:p w14:paraId="0C0A2803" w14:textId="77777777" w:rsidR="00FA6207" w:rsidRPr="00FA6207" w:rsidRDefault="00144467" w:rsidP="00FA6207">
            <w:pPr>
              <w:pStyle w:val="ListParagraph"/>
              <w:spacing w:after="0" w:line="240" w:lineRule="auto"/>
              <w:ind w:left="0"/>
              <w:rPr>
                <w:rFonts w:ascii="Times New Roman" w:hAnsi="Times New Roman"/>
                <w:sz w:val="20"/>
                <w:szCs w:val="20"/>
              </w:rPr>
            </w:pPr>
            <w:r>
              <w:rPr>
                <w:rFonts w:ascii="Times New Roman" w:hAnsi="Times New Roman"/>
                <w:sz w:val="20"/>
              </w:rPr>
              <w:t>3.5. Compliance with the requirements of the laws and regulations governing the maritime sector and the principles of health and safety on board:</w:t>
            </w:r>
          </w:p>
          <w:p w14:paraId="7CADC44B" w14:textId="77777777" w:rsidR="00FA6207" w:rsidRPr="00FA6207" w:rsidRDefault="00FA6207" w:rsidP="00FA6207">
            <w:pPr>
              <w:pStyle w:val="ListParagraph"/>
              <w:spacing w:after="0" w:line="240" w:lineRule="auto"/>
              <w:ind w:left="0" w:firstLine="885"/>
              <w:jc w:val="both"/>
              <w:rPr>
                <w:rFonts w:ascii="Times New Roman" w:hAnsi="Times New Roman"/>
                <w:sz w:val="20"/>
                <w:szCs w:val="20"/>
              </w:rPr>
            </w:pPr>
            <w:r>
              <w:rPr>
                <w:rFonts w:ascii="Times New Roman" w:hAnsi="Times New Roman"/>
                <w:sz w:val="20"/>
              </w:rPr>
              <w:t xml:space="preserve">- take care of one's personal health on </w:t>
            </w:r>
            <w:proofErr w:type="gramStart"/>
            <w:r>
              <w:rPr>
                <w:rFonts w:ascii="Times New Roman" w:hAnsi="Times New Roman"/>
                <w:sz w:val="20"/>
              </w:rPr>
              <w:t>board;</w:t>
            </w:r>
            <w:proofErr w:type="gramEnd"/>
          </w:p>
          <w:p w14:paraId="31505CD8" w14:textId="77777777" w:rsidR="00FA6207" w:rsidRPr="00FA6207" w:rsidRDefault="00FA6207" w:rsidP="00FA6207">
            <w:pPr>
              <w:pStyle w:val="ListParagraph"/>
              <w:spacing w:after="0" w:line="240" w:lineRule="auto"/>
              <w:ind w:left="0" w:firstLine="885"/>
              <w:jc w:val="both"/>
              <w:rPr>
                <w:rFonts w:ascii="Times New Roman" w:hAnsi="Times New Roman"/>
                <w:sz w:val="20"/>
                <w:szCs w:val="20"/>
              </w:rPr>
            </w:pPr>
            <w:r>
              <w:rPr>
                <w:rFonts w:ascii="Times New Roman" w:hAnsi="Times New Roman"/>
                <w:sz w:val="20"/>
              </w:rPr>
              <w:t xml:space="preserve">- apply labour protection procedures on </w:t>
            </w:r>
            <w:proofErr w:type="gramStart"/>
            <w:r>
              <w:rPr>
                <w:rFonts w:ascii="Times New Roman" w:hAnsi="Times New Roman"/>
                <w:sz w:val="20"/>
              </w:rPr>
              <w:t>board;</w:t>
            </w:r>
            <w:proofErr w:type="gramEnd"/>
          </w:p>
          <w:p w14:paraId="73069E03" w14:textId="77777777" w:rsidR="00FA6207" w:rsidRPr="00FA6207" w:rsidRDefault="00FA6207" w:rsidP="00FA6207">
            <w:pPr>
              <w:pStyle w:val="ListParagraph"/>
              <w:spacing w:after="0" w:line="240" w:lineRule="auto"/>
              <w:ind w:left="0" w:firstLine="885"/>
              <w:jc w:val="both"/>
              <w:rPr>
                <w:rFonts w:ascii="Times New Roman" w:hAnsi="Times New Roman"/>
                <w:sz w:val="20"/>
                <w:szCs w:val="20"/>
              </w:rPr>
            </w:pPr>
            <w:r>
              <w:rPr>
                <w:rFonts w:ascii="Times New Roman" w:hAnsi="Times New Roman"/>
                <w:sz w:val="20"/>
              </w:rPr>
              <w:t>- comply with the requirements of international and national laws and regulations governing the maritime sector.</w:t>
            </w:r>
          </w:p>
          <w:p w14:paraId="5FE8C73C" w14:textId="77777777" w:rsidR="00E769AD" w:rsidRPr="00A907FB" w:rsidRDefault="00E769AD" w:rsidP="00D52330">
            <w:pPr>
              <w:pStyle w:val="ListParagraph"/>
              <w:spacing w:after="0" w:line="240" w:lineRule="auto"/>
              <w:ind w:left="0" w:firstLine="383"/>
              <w:rPr>
                <w:rFonts w:ascii="Times New Roman" w:hAnsi="Times New Roman"/>
                <w:sz w:val="16"/>
                <w:szCs w:val="16"/>
              </w:rPr>
            </w:pPr>
          </w:p>
          <w:p w14:paraId="0030233D" w14:textId="77777777" w:rsidR="00A907FB" w:rsidRPr="00A907FB" w:rsidRDefault="00D52330" w:rsidP="00A907FB">
            <w:pPr>
              <w:pStyle w:val="ListParagraph"/>
              <w:spacing w:after="0" w:line="240" w:lineRule="auto"/>
              <w:ind w:left="0"/>
              <w:jc w:val="both"/>
              <w:rPr>
                <w:rFonts w:ascii="Times New Roman" w:hAnsi="Times New Roman"/>
                <w:sz w:val="20"/>
                <w:szCs w:val="20"/>
              </w:rPr>
            </w:pPr>
            <w:r>
              <w:rPr>
                <w:rFonts w:ascii="Times New Roman" w:hAnsi="Times New Roman"/>
                <w:sz w:val="20"/>
              </w:rPr>
              <w:t xml:space="preserve">3.6. Compliance with the ship's </w:t>
            </w:r>
            <w:proofErr w:type="spellStart"/>
            <w:r>
              <w:rPr>
                <w:rFonts w:ascii="Times New Roman" w:hAnsi="Times New Roman"/>
                <w:sz w:val="20"/>
              </w:rPr>
              <w:t>organisation</w:t>
            </w:r>
            <w:proofErr w:type="spellEnd"/>
            <w:r>
              <w:rPr>
                <w:rFonts w:ascii="Times New Roman" w:hAnsi="Times New Roman"/>
                <w:sz w:val="20"/>
              </w:rPr>
              <w:t xml:space="preserve"> of work:</w:t>
            </w:r>
          </w:p>
          <w:p w14:paraId="51C497DA" w14:textId="77777777" w:rsidR="00A907FB" w:rsidRPr="00A907FB" w:rsidRDefault="00A907FB" w:rsidP="00A907FB">
            <w:pPr>
              <w:pStyle w:val="ListParagraph"/>
              <w:spacing w:after="0" w:line="240" w:lineRule="auto"/>
              <w:ind w:left="360" w:firstLine="525"/>
              <w:jc w:val="both"/>
              <w:rPr>
                <w:rFonts w:ascii="Times New Roman" w:hAnsi="Times New Roman"/>
                <w:sz w:val="20"/>
                <w:szCs w:val="20"/>
              </w:rPr>
            </w:pPr>
            <w:r>
              <w:rPr>
                <w:rFonts w:ascii="Times New Roman" w:hAnsi="Times New Roman"/>
                <w:sz w:val="20"/>
              </w:rPr>
              <w:t xml:space="preserve">- observe the principles of watchkeeping in accordance with accepted practices and procedures on </w:t>
            </w:r>
            <w:proofErr w:type="gramStart"/>
            <w:r>
              <w:rPr>
                <w:rFonts w:ascii="Times New Roman" w:hAnsi="Times New Roman"/>
                <w:sz w:val="20"/>
              </w:rPr>
              <w:t>board;</w:t>
            </w:r>
            <w:proofErr w:type="gramEnd"/>
          </w:p>
          <w:p w14:paraId="7E0264FA" w14:textId="77777777" w:rsidR="00A907FB" w:rsidRDefault="00A907FB" w:rsidP="00A907FB">
            <w:pPr>
              <w:pStyle w:val="ListParagraph"/>
              <w:spacing w:after="0" w:line="240" w:lineRule="auto"/>
              <w:ind w:left="360" w:firstLine="525"/>
              <w:jc w:val="both"/>
              <w:rPr>
                <w:rFonts w:ascii="Times New Roman" w:hAnsi="Times New Roman"/>
                <w:sz w:val="20"/>
                <w:szCs w:val="20"/>
              </w:rPr>
            </w:pPr>
            <w:r>
              <w:rPr>
                <w:rFonts w:ascii="Times New Roman" w:hAnsi="Times New Roman"/>
                <w:sz w:val="20"/>
              </w:rPr>
              <w:t xml:space="preserve">- observe the principles of teamwork on </w:t>
            </w:r>
            <w:proofErr w:type="gramStart"/>
            <w:r>
              <w:rPr>
                <w:rFonts w:ascii="Times New Roman" w:hAnsi="Times New Roman"/>
                <w:sz w:val="20"/>
              </w:rPr>
              <w:t>board;</w:t>
            </w:r>
            <w:proofErr w:type="gramEnd"/>
          </w:p>
          <w:p w14:paraId="3CE8D0CB" w14:textId="77777777" w:rsidR="00A907FB" w:rsidRPr="00A907FB" w:rsidRDefault="00A907FB" w:rsidP="00A907FB">
            <w:pPr>
              <w:pStyle w:val="ListParagraph"/>
              <w:spacing w:after="0" w:line="240" w:lineRule="auto"/>
              <w:ind w:left="360" w:firstLine="525"/>
              <w:jc w:val="both"/>
              <w:rPr>
                <w:rFonts w:ascii="Times New Roman" w:hAnsi="Times New Roman"/>
                <w:sz w:val="20"/>
                <w:szCs w:val="20"/>
              </w:rPr>
            </w:pPr>
            <w:r>
              <w:rPr>
                <w:rFonts w:ascii="Times New Roman" w:hAnsi="Times New Roman"/>
                <w:sz w:val="20"/>
              </w:rPr>
              <w:t xml:space="preserve">- communicate and receive information clearly and unambiguously to carry out one's </w:t>
            </w:r>
            <w:proofErr w:type="gramStart"/>
            <w:r>
              <w:rPr>
                <w:rFonts w:ascii="Times New Roman" w:hAnsi="Times New Roman"/>
                <w:sz w:val="20"/>
              </w:rPr>
              <w:t>job;</w:t>
            </w:r>
            <w:proofErr w:type="gramEnd"/>
          </w:p>
          <w:p w14:paraId="4A9ECCE5" w14:textId="77777777" w:rsidR="00A907FB" w:rsidRPr="00A907FB" w:rsidRDefault="00A907FB" w:rsidP="00A907FB">
            <w:pPr>
              <w:pStyle w:val="ListParagraph"/>
              <w:spacing w:after="0" w:line="240" w:lineRule="auto"/>
              <w:ind w:left="360" w:firstLine="525"/>
              <w:jc w:val="both"/>
              <w:rPr>
                <w:rFonts w:ascii="Times New Roman" w:hAnsi="Times New Roman"/>
                <w:sz w:val="20"/>
                <w:szCs w:val="20"/>
              </w:rPr>
            </w:pPr>
            <w:r>
              <w:rPr>
                <w:rFonts w:ascii="Times New Roman" w:hAnsi="Times New Roman"/>
                <w:sz w:val="20"/>
              </w:rPr>
              <w:t xml:space="preserve">- use internal communication systems to successfully transmit and receive </w:t>
            </w:r>
            <w:proofErr w:type="gramStart"/>
            <w:r>
              <w:rPr>
                <w:rFonts w:ascii="Times New Roman" w:hAnsi="Times New Roman"/>
                <w:sz w:val="20"/>
              </w:rPr>
              <w:t>messages;</w:t>
            </w:r>
            <w:proofErr w:type="gramEnd"/>
          </w:p>
          <w:p w14:paraId="49273C2A" w14:textId="77777777" w:rsidR="00A907FB" w:rsidRDefault="00A907FB" w:rsidP="00A907FB">
            <w:pPr>
              <w:pStyle w:val="ListParagraph"/>
              <w:spacing w:after="0" w:line="240" w:lineRule="auto"/>
              <w:ind w:left="360" w:firstLine="525"/>
              <w:jc w:val="both"/>
              <w:rPr>
                <w:rFonts w:ascii="Times New Roman" w:hAnsi="Times New Roman"/>
                <w:sz w:val="20"/>
                <w:szCs w:val="20"/>
              </w:rPr>
            </w:pPr>
            <w:r>
              <w:rPr>
                <w:rFonts w:ascii="Times New Roman" w:hAnsi="Times New Roman"/>
                <w:sz w:val="20"/>
              </w:rPr>
              <w:t>- comply with the priority of the work to be carried out and the binding instructions of the master and officers.</w:t>
            </w:r>
          </w:p>
          <w:p w14:paraId="013C0256" w14:textId="77777777" w:rsidR="00A907FB" w:rsidRPr="00A907FB" w:rsidRDefault="00A907FB" w:rsidP="00A907FB">
            <w:pPr>
              <w:pStyle w:val="ListParagraph"/>
              <w:spacing w:after="0" w:line="240" w:lineRule="auto"/>
              <w:ind w:left="360" w:firstLine="525"/>
              <w:jc w:val="both"/>
              <w:rPr>
                <w:rFonts w:ascii="Times New Roman" w:hAnsi="Times New Roman"/>
                <w:sz w:val="16"/>
                <w:szCs w:val="16"/>
              </w:rPr>
            </w:pPr>
          </w:p>
          <w:p w14:paraId="76324002" w14:textId="0BF52B45" w:rsidR="00A907FB" w:rsidRPr="00FA5B71" w:rsidRDefault="00A907FB" w:rsidP="00FA5B71">
            <w:pPr>
              <w:pStyle w:val="ListParagraph"/>
              <w:numPr>
                <w:ilvl w:val="1"/>
                <w:numId w:val="4"/>
              </w:numPr>
              <w:jc w:val="both"/>
              <w:rPr>
                <w:rFonts w:ascii="Times New Roman" w:hAnsi="Times New Roman"/>
                <w:sz w:val="20"/>
              </w:rPr>
            </w:pPr>
            <w:r w:rsidRPr="00FA5B71">
              <w:rPr>
                <w:rFonts w:ascii="Times New Roman" w:hAnsi="Times New Roman"/>
                <w:sz w:val="20"/>
              </w:rPr>
              <w:t>Use of professional English in the performance of one's duties:</w:t>
            </w:r>
          </w:p>
          <w:p w14:paraId="0ADF9358" w14:textId="6EE26F42" w:rsidR="00A907FB" w:rsidRPr="00A667CE" w:rsidRDefault="00A907FB" w:rsidP="00A667CE">
            <w:pPr>
              <w:pStyle w:val="ListParagraph"/>
              <w:spacing w:after="0" w:line="240" w:lineRule="auto"/>
              <w:ind w:left="0" w:firstLine="885"/>
              <w:jc w:val="both"/>
              <w:rPr>
                <w:rFonts w:ascii="Times New Roman" w:hAnsi="Times New Roman"/>
                <w:sz w:val="20"/>
                <w:szCs w:val="20"/>
              </w:rPr>
            </w:pPr>
            <w:r>
              <w:rPr>
                <w:rFonts w:ascii="Times New Roman" w:hAnsi="Times New Roman"/>
                <w:sz w:val="20"/>
              </w:rPr>
              <w:t xml:space="preserve">- communicate in English with the crew and other persons involved in the ship's operations in the performance of </w:t>
            </w:r>
            <w:r w:rsidR="00A667CE">
              <w:rPr>
                <w:rFonts w:ascii="Times New Roman" w:hAnsi="Times New Roman"/>
                <w:sz w:val="20"/>
              </w:rPr>
              <w:tab/>
            </w:r>
            <w:r>
              <w:rPr>
                <w:rFonts w:ascii="Times New Roman" w:hAnsi="Times New Roman"/>
                <w:sz w:val="20"/>
              </w:rPr>
              <w:t xml:space="preserve">one's </w:t>
            </w:r>
            <w:proofErr w:type="gramStart"/>
            <w:r>
              <w:rPr>
                <w:rFonts w:ascii="Times New Roman" w:hAnsi="Times New Roman"/>
                <w:sz w:val="20"/>
              </w:rPr>
              <w:t>duties;</w:t>
            </w:r>
            <w:proofErr w:type="gramEnd"/>
            <w:r w:rsidRPr="00A667CE">
              <w:rPr>
                <w:rFonts w:ascii="Times New Roman" w:hAnsi="Times New Roman"/>
                <w:sz w:val="20"/>
              </w:rPr>
              <w:t xml:space="preserve">  </w:t>
            </w:r>
          </w:p>
          <w:p w14:paraId="0F68CA30" w14:textId="2EA41DED" w:rsidR="00A907FB" w:rsidRPr="00343172" w:rsidRDefault="00A907FB" w:rsidP="007C7675">
            <w:pPr>
              <w:pStyle w:val="ListParagraph"/>
              <w:spacing w:after="0" w:line="240" w:lineRule="auto"/>
              <w:ind w:left="0" w:firstLine="885"/>
              <w:jc w:val="both"/>
              <w:rPr>
                <w:rFonts w:ascii="Times New Roman" w:hAnsi="Times New Roman"/>
                <w:sz w:val="20"/>
                <w:szCs w:val="20"/>
              </w:rPr>
            </w:pPr>
            <w:r>
              <w:rPr>
                <w:rFonts w:ascii="Times New Roman" w:hAnsi="Times New Roman"/>
                <w:sz w:val="20"/>
              </w:rPr>
              <w:t>- use manuals and other engineering publications in English as required for the job.</w:t>
            </w:r>
          </w:p>
          <w:p w14:paraId="422152D4" w14:textId="77777777" w:rsidR="00E769AD" w:rsidRPr="00A907FB" w:rsidRDefault="00E769AD" w:rsidP="00A907FB">
            <w:pPr>
              <w:rPr>
                <w:sz w:val="16"/>
                <w:szCs w:val="16"/>
                <w:lang w:val="lv-LV"/>
              </w:rPr>
            </w:pPr>
          </w:p>
          <w:p w14:paraId="13735C1F" w14:textId="77777777" w:rsidR="00E769AD" w:rsidRPr="00E769AD" w:rsidRDefault="00A907FB" w:rsidP="00A907FB">
            <w:pPr>
              <w:pStyle w:val="ListParagraph"/>
              <w:spacing w:after="0" w:line="240" w:lineRule="auto"/>
              <w:ind w:left="0"/>
              <w:rPr>
                <w:rFonts w:ascii="Times New Roman" w:hAnsi="Times New Roman"/>
                <w:sz w:val="20"/>
                <w:szCs w:val="20"/>
              </w:rPr>
            </w:pPr>
            <w:r>
              <w:rPr>
                <w:rFonts w:ascii="Times New Roman" w:hAnsi="Times New Roman"/>
                <w:sz w:val="20"/>
              </w:rPr>
              <w:t>3.8. Compliance with anti-pollution requirements for the marine environment:</w:t>
            </w:r>
          </w:p>
          <w:p w14:paraId="4BA1C137" w14:textId="0C349CC9" w:rsidR="00E769AD" w:rsidRPr="007C7675" w:rsidRDefault="007C7675" w:rsidP="007C7675">
            <w:r>
              <w:tab/>
            </w:r>
            <w:r w:rsidR="00E769AD" w:rsidRPr="007C7675">
              <w:t xml:space="preserve">- apply procedures to prevent pollution of the marine </w:t>
            </w:r>
            <w:proofErr w:type="gramStart"/>
            <w:r w:rsidR="00E769AD" w:rsidRPr="007C7675">
              <w:t>environment;</w:t>
            </w:r>
            <w:proofErr w:type="gramEnd"/>
          </w:p>
          <w:p w14:paraId="612D1D68" w14:textId="3238E3AB" w:rsidR="00D52330" w:rsidRDefault="007C7675" w:rsidP="005E11EA">
            <w:pPr>
              <w:ind w:firstLine="743"/>
            </w:pPr>
            <w:r>
              <w:tab/>
            </w:r>
            <w:r w:rsidR="00E769AD">
              <w:t xml:space="preserve">- take immediate action in the event of spills or pollution in accordance with the requirements of the MARPOL </w:t>
            </w:r>
            <w:proofErr w:type="gramStart"/>
            <w:r>
              <w:tab/>
              <w:t xml:space="preserve">  </w:t>
            </w:r>
            <w:r w:rsidR="00E769AD">
              <w:t>Convention</w:t>
            </w:r>
            <w:proofErr w:type="gramEnd"/>
            <w:r w:rsidR="00E769AD">
              <w:t xml:space="preserve"> and national regulatory acts and the ship's procedures.</w:t>
            </w:r>
          </w:p>
          <w:p w14:paraId="1ACE01C4" w14:textId="77777777" w:rsidR="00E769AD" w:rsidRPr="00A907FB" w:rsidRDefault="00E769AD" w:rsidP="00E769AD">
            <w:pPr>
              <w:rPr>
                <w:sz w:val="16"/>
                <w:szCs w:val="16"/>
                <w:lang w:val="lv-LV"/>
              </w:rPr>
            </w:pPr>
          </w:p>
          <w:p w14:paraId="6C266DA7" w14:textId="77777777" w:rsidR="00E769AD" w:rsidRPr="00E769AD" w:rsidRDefault="00A907FB" w:rsidP="00A907FB">
            <w:pPr>
              <w:pStyle w:val="ListParagraph"/>
              <w:spacing w:after="0" w:line="240" w:lineRule="auto"/>
              <w:ind w:left="0"/>
              <w:rPr>
                <w:rFonts w:ascii="Times New Roman" w:hAnsi="Times New Roman"/>
                <w:sz w:val="20"/>
                <w:szCs w:val="20"/>
              </w:rPr>
            </w:pPr>
            <w:r>
              <w:rPr>
                <w:rFonts w:ascii="Times New Roman" w:hAnsi="Times New Roman"/>
                <w:sz w:val="20"/>
              </w:rPr>
              <w:t xml:space="preserve">3.9. Emergency procedures on board:  </w:t>
            </w:r>
          </w:p>
          <w:p w14:paraId="37DA8785" w14:textId="13DE1931" w:rsidR="00E769AD" w:rsidRPr="00890C2D" w:rsidRDefault="00E769AD" w:rsidP="00890C2D">
            <w:pPr>
              <w:pStyle w:val="ListParagraph"/>
              <w:spacing w:after="0" w:line="240" w:lineRule="auto"/>
              <w:ind w:left="360" w:firstLine="383"/>
              <w:rPr>
                <w:rFonts w:ascii="Times New Roman" w:hAnsi="Times New Roman"/>
                <w:sz w:val="20"/>
                <w:szCs w:val="20"/>
              </w:rPr>
            </w:pPr>
            <w:r>
              <w:rPr>
                <w:rFonts w:ascii="Times New Roman" w:hAnsi="Times New Roman"/>
                <w:sz w:val="20"/>
              </w:rPr>
              <w:t xml:space="preserve">- take immediate action during a ship alarm in accordance with the nature of the emergency, the ship alarm list and </w:t>
            </w:r>
            <w:r w:rsidR="00890C2D">
              <w:rPr>
                <w:rFonts w:ascii="Times New Roman" w:hAnsi="Times New Roman"/>
                <w:sz w:val="20"/>
              </w:rPr>
              <w:tab/>
            </w:r>
            <w:r>
              <w:rPr>
                <w:rFonts w:ascii="Times New Roman" w:hAnsi="Times New Roman"/>
                <w:sz w:val="20"/>
              </w:rPr>
              <w:t xml:space="preserve">action plans in emergency </w:t>
            </w:r>
            <w:proofErr w:type="gramStart"/>
            <w:r>
              <w:rPr>
                <w:rFonts w:ascii="Times New Roman" w:hAnsi="Times New Roman"/>
                <w:sz w:val="20"/>
              </w:rPr>
              <w:t>situations;</w:t>
            </w:r>
            <w:proofErr w:type="gramEnd"/>
            <w:r w:rsidRPr="00890C2D">
              <w:rPr>
                <w:rFonts w:ascii="Times New Roman" w:hAnsi="Times New Roman"/>
                <w:sz w:val="20"/>
              </w:rPr>
              <w:t xml:space="preserve"> </w:t>
            </w:r>
          </w:p>
          <w:p w14:paraId="558DC465" w14:textId="77777777" w:rsidR="00E769AD" w:rsidRPr="00E769AD" w:rsidRDefault="00E769AD" w:rsidP="00E769AD">
            <w:pPr>
              <w:pStyle w:val="ListParagraph"/>
              <w:spacing w:after="0" w:line="240" w:lineRule="auto"/>
              <w:ind w:left="360" w:firstLine="383"/>
              <w:rPr>
                <w:rFonts w:ascii="Times New Roman" w:hAnsi="Times New Roman"/>
                <w:sz w:val="20"/>
                <w:szCs w:val="20"/>
              </w:rPr>
            </w:pPr>
            <w:r>
              <w:rPr>
                <w:rFonts w:ascii="Times New Roman" w:hAnsi="Times New Roman"/>
                <w:sz w:val="20"/>
              </w:rPr>
              <w:t xml:space="preserve">- act in the event of a power failure in accordance with the ship's </w:t>
            </w:r>
            <w:proofErr w:type="gramStart"/>
            <w:r>
              <w:rPr>
                <w:rFonts w:ascii="Times New Roman" w:hAnsi="Times New Roman"/>
                <w:sz w:val="20"/>
              </w:rPr>
              <w:t>procedures;</w:t>
            </w:r>
            <w:proofErr w:type="gramEnd"/>
          </w:p>
          <w:p w14:paraId="3AB430AE" w14:textId="77777777" w:rsidR="00E769AD" w:rsidRPr="00E769AD" w:rsidRDefault="00E769AD" w:rsidP="00E769AD">
            <w:pPr>
              <w:pStyle w:val="ListParagraph"/>
              <w:spacing w:after="0" w:line="240" w:lineRule="auto"/>
              <w:ind w:left="360" w:firstLine="383"/>
              <w:rPr>
                <w:rFonts w:ascii="Times New Roman" w:hAnsi="Times New Roman"/>
                <w:sz w:val="20"/>
                <w:szCs w:val="20"/>
              </w:rPr>
            </w:pPr>
            <w:r>
              <w:rPr>
                <w:rFonts w:ascii="Times New Roman" w:hAnsi="Times New Roman"/>
                <w:sz w:val="20"/>
              </w:rPr>
              <w:t xml:space="preserve">- extinguish a fire on </w:t>
            </w:r>
            <w:proofErr w:type="gramStart"/>
            <w:r>
              <w:rPr>
                <w:rFonts w:ascii="Times New Roman" w:hAnsi="Times New Roman"/>
                <w:sz w:val="20"/>
              </w:rPr>
              <w:t>board;</w:t>
            </w:r>
            <w:proofErr w:type="gramEnd"/>
          </w:p>
          <w:p w14:paraId="2DBC62D2" w14:textId="77777777" w:rsidR="00E769AD" w:rsidRPr="00E769AD" w:rsidRDefault="00E769AD" w:rsidP="00E769AD">
            <w:pPr>
              <w:pStyle w:val="ListParagraph"/>
              <w:spacing w:after="0" w:line="240" w:lineRule="auto"/>
              <w:ind w:left="360" w:firstLine="383"/>
              <w:rPr>
                <w:rFonts w:ascii="Times New Roman" w:hAnsi="Times New Roman"/>
                <w:sz w:val="20"/>
                <w:szCs w:val="20"/>
              </w:rPr>
            </w:pPr>
            <w:r>
              <w:rPr>
                <w:rFonts w:ascii="Times New Roman" w:hAnsi="Times New Roman"/>
                <w:sz w:val="20"/>
              </w:rPr>
              <w:t xml:space="preserve">- use </w:t>
            </w:r>
            <w:proofErr w:type="gramStart"/>
            <w:r>
              <w:rPr>
                <w:rFonts w:ascii="Times New Roman" w:hAnsi="Times New Roman"/>
                <w:sz w:val="20"/>
              </w:rPr>
              <w:t>life-saving</w:t>
            </w:r>
            <w:proofErr w:type="gramEnd"/>
            <w:r>
              <w:rPr>
                <w:rFonts w:ascii="Times New Roman" w:hAnsi="Times New Roman"/>
                <w:sz w:val="20"/>
              </w:rPr>
              <w:t xml:space="preserve"> equipment;</w:t>
            </w:r>
          </w:p>
          <w:p w14:paraId="2F27E370" w14:textId="77777777" w:rsidR="00E769AD" w:rsidRPr="00E769AD" w:rsidRDefault="00E769AD" w:rsidP="00E769AD">
            <w:pPr>
              <w:pStyle w:val="ListParagraph"/>
              <w:spacing w:after="0" w:line="240" w:lineRule="auto"/>
              <w:ind w:left="360" w:firstLine="383"/>
              <w:rPr>
                <w:rFonts w:ascii="Times New Roman" w:hAnsi="Times New Roman"/>
                <w:sz w:val="20"/>
                <w:szCs w:val="20"/>
              </w:rPr>
            </w:pPr>
            <w:r>
              <w:rPr>
                <w:rFonts w:ascii="Times New Roman" w:hAnsi="Times New Roman"/>
                <w:sz w:val="20"/>
              </w:rPr>
              <w:t>- provide first aid on board.</w:t>
            </w:r>
          </w:p>
          <w:p w14:paraId="284D0EAA" w14:textId="77777777" w:rsidR="00144467" w:rsidRPr="00D52330" w:rsidRDefault="00144467" w:rsidP="00144467">
            <w:pPr>
              <w:jc w:val="both"/>
              <w:rPr>
                <w:lang w:val="lv-LV"/>
              </w:rPr>
            </w:pPr>
          </w:p>
          <w:p w14:paraId="2F385478" w14:textId="77777777" w:rsidR="00E03091" w:rsidRPr="000A5D30" w:rsidRDefault="00E03091" w:rsidP="002E235A">
            <w:pPr>
              <w:jc w:val="both"/>
              <w:rPr>
                <w:color w:val="000000"/>
              </w:rPr>
            </w:pPr>
            <w:r>
              <w:rPr>
                <w:color w:val="000000"/>
              </w:rPr>
              <w:t>Additional competences:</w:t>
            </w:r>
          </w:p>
          <w:p w14:paraId="1F0D48BA" w14:textId="77777777" w:rsidR="00E03091" w:rsidRPr="00AF7B2A" w:rsidRDefault="00E03091" w:rsidP="00746FCB">
            <w:pPr>
              <w:numPr>
                <w:ilvl w:val="0"/>
                <w:numId w:val="1"/>
              </w:numPr>
              <w:jc w:val="both"/>
              <w:rPr>
                <w:i/>
                <w:color w:val="000000"/>
              </w:rPr>
            </w:pPr>
            <w:r>
              <w:rPr>
                <w:i/>
                <w:color w:val="1F3864"/>
              </w:rPr>
              <w:t>&lt;&lt;To be completed by the education institution&gt;</w:t>
            </w:r>
            <w:proofErr w:type="gramStart"/>
            <w:r>
              <w:rPr>
                <w:i/>
                <w:color w:val="1F3864"/>
              </w:rPr>
              <w:t>&gt;;</w:t>
            </w:r>
            <w:proofErr w:type="gramEnd"/>
          </w:p>
          <w:p w14:paraId="5BABC5D6" w14:textId="77777777" w:rsidR="00E03091" w:rsidRPr="00AF7B2A" w:rsidRDefault="00E03091" w:rsidP="00746FCB">
            <w:pPr>
              <w:numPr>
                <w:ilvl w:val="0"/>
                <w:numId w:val="1"/>
              </w:numPr>
              <w:jc w:val="both"/>
              <w:rPr>
                <w:i/>
                <w:color w:val="000000"/>
              </w:rPr>
            </w:pPr>
            <w:r>
              <w:rPr>
                <w:i/>
                <w:color w:val="1F3864"/>
              </w:rPr>
              <w:t>...;</w:t>
            </w:r>
          </w:p>
          <w:p w14:paraId="67D17A68" w14:textId="77777777" w:rsidR="00E03091" w:rsidRPr="00AF7B2A" w:rsidRDefault="00E03091" w:rsidP="00746FCB">
            <w:pPr>
              <w:numPr>
                <w:ilvl w:val="0"/>
                <w:numId w:val="1"/>
              </w:numPr>
              <w:jc w:val="both"/>
              <w:rPr>
                <w:i/>
                <w:color w:val="000000"/>
              </w:rPr>
            </w:pPr>
            <w:r>
              <w:rPr>
                <w:i/>
                <w:color w:val="000000"/>
              </w:rPr>
              <w:t>...;</w:t>
            </w:r>
          </w:p>
          <w:p w14:paraId="6A51D58D" w14:textId="77777777" w:rsidR="00E03091" w:rsidRPr="00AF7B2A" w:rsidRDefault="00E03091" w:rsidP="00746FCB">
            <w:pPr>
              <w:numPr>
                <w:ilvl w:val="0"/>
                <w:numId w:val="1"/>
              </w:numPr>
              <w:jc w:val="both"/>
              <w:rPr>
                <w:i/>
                <w:color w:val="000000"/>
              </w:rPr>
            </w:pPr>
            <w:r>
              <w:rPr>
                <w:i/>
                <w:color w:val="000000"/>
              </w:rPr>
              <w:t>...</w:t>
            </w:r>
          </w:p>
          <w:p w14:paraId="607A6008" w14:textId="77777777" w:rsidR="001D0555" w:rsidRPr="00AF7B2A" w:rsidRDefault="001D0555" w:rsidP="001D0555">
            <w:pPr>
              <w:ind w:left="720"/>
              <w:jc w:val="both"/>
              <w:rPr>
                <w:i/>
                <w:color w:val="000000"/>
                <w:lang w:val="lv-LV"/>
              </w:rPr>
            </w:pPr>
          </w:p>
        </w:tc>
      </w:tr>
    </w:tbl>
    <w:p w14:paraId="406291A4" w14:textId="77777777" w:rsidR="001F2A29" w:rsidRPr="00493EB3" w:rsidRDefault="001F2A29" w:rsidP="00E03091">
      <w:pPr>
        <w:jc w:val="center"/>
        <w:rPr>
          <w:rFonts w:ascii="Arial" w:hAnsi="Arial"/>
          <w:color w:val="000000"/>
          <w:sz w:val="16"/>
          <w:szCs w:val="16"/>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060DE6" w14:paraId="08907E52" w14:textId="77777777" w:rsidTr="002E235A">
        <w:tc>
          <w:tcPr>
            <w:tcW w:w="10207" w:type="dxa"/>
            <w:tcBorders>
              <w:top w:val="double" w:sz="4" w:space="0" w:color="auto"/>
            </w:tcBorders>
            <w:shd w:val="clear" w:color="auto" w:fill="D9D9D9"/>
          </w:tcPr>
          <w:p w14:paraId="207A22A9" w14:textId="4D79F9B8" w:rsidR="00E03091" w:rsidRPr="00493EB3" w:rsidRDefault="00E03091" w:rsidP="002E235A">
            <w:pPr>
              <w:spacing w:before="120" w:after="120"/>
              <w:jc w:val="center"/>
              <w:rPr>
                <w:rFonts w:ascii="Arial" w:hAnsi="Arial"/>
                <w:b/>
                <w:color w:val="000000"/>
              </w:rPr>
            </w:pPr>
            <w:r>
              <w:br w:type="page"/>
            </w:r>
            <w:r>
              <w:rPr>
                <w:rFonts w:ascii="Arial" w:hAnsi="Arial"/>
                <w:b/>
                <w:color w:val="000000"/>
              </w:rPr>
              <w:t xml:space="preserve">4. Employment opportunities in line with </w:t>
            </w:r>
            <w:proofErr w:type="gramStart"/>
            <w:r>
              <w:rPr>
                <w:rFonts w:ascii="Arial" w:hAnsi="Arial"/>
                <w:b/>
                <w:color w:val="000000"/>
              </w:rPr>
              <w:t xml:space="preserve">the </w:t>
            </w:r>
            <w:r w:rsidR="001A22B8" w:rsidRPr="001A22B8">
              <w:rPr>
                <w:rFonts w:ascii="Arial" w:hAnsi="Arial"/>
                <w:b/>
                <w:color w:val="000000"/>
              </w:rPr>
              <w:t>professional</w:t>
            </w:r>
            <w:proofErr w:type="gramEnd"/>
            <w:r w:rsidR="001A22B8" w:rsidRPr="001A22B8">
              <w:rPr>
                <w:rFonts w:ascii="Arial" w:hAnsi="Arial"/>
                <w:b/>
                <w:color w:val="000000"/>
              </w:rPr>
              <w:t xml:space="preserve"> </w:t>
            </w:r>
            <w:proofErr w:type="gramStart"/>
            <w:r>
              <w:rPr>
                <w:rFonts w:ascii="Arial" w:hAnsi="Arial"/>
                <w:b/>
                <w:color w:val="000000"/>
              </w:rPr>
              <w:t>qualification</w:t>
            </w:r>
            <w:r>
              <w:rPr>
                <w:rFonts w:ascii="Arial" w:hAnsi="Arial"/>
                <w:b/>
                <w:color w:val="000000"/>
                <w:vertAlign w:val="superscript"/>
              </w:rPr>
              <w:t>(</w:t>
            </w:r>
            <w:proofErr w:type="gramEnd"/>
            <w:r>
              <w:rPr>
                <w:rFonts w:ascii="Arial" w:hAnsi="Arial"/>
                <w:b/>
                <w:color w:val="000000"/>
                <w:vertAlign w:val="superscript"/>
              </w:rPr>
              <w:t>3)</w:t>
            </w:r>
          </w:p>
        </w:tc>
      </w:tr>
      <w:tr w:rsidR="00E03091" w:rsidRPr="00060DE6" w14:paraId="122ECDFF" w14:textId="77777777" w:rsidTr="003D5200">
        <w:trPr>
          <w:trHeight w:val="185"/>
        </w:trPr>
        <w:tc>
          <w:tcPr>
            <w:tcW w:w="10207" w:type="dxa"/>
          </w:tcPr>
          <w:p w14:paraId="2A4AC9DC" w14:textId="77777777" w:rsidR="00E10B19" w:rsidRPr="007030A5" w:rsidRDefault="004B2B45" w:rsidP="004B2B45">
            <w:pPr>
              <w:pStyle w:val="ListParagraph"/>
              <w:spacing w:after="0" w:line="240" w:lineRule="auto"/>
              <w:ind w:left="176" w:right="176"/>
              <w:jc w:val="both"/>
              <w:rPr>
                <w:rFonts w:ascii="Times New Roman" w:hAnsi="Times New Roman"/>
                <w:sz w:val="20"/>
                <w:szCs w:val="20"/>
              </w:rPr>
            </w:pPr>
            <w:r>
              <w:rPr>
                <w:rFonts w:ascii="Times New Roman" w:hAnsi="Times New Roman"/>
                <w:sz w:val="20"/>
              </w:rPr>
              <w:t xml:space="preserve">         Work on board Latvian or foreign flag ships (reefer ships, liquefied gas tankers, passenger ships, fishing ships, etc.) in international navigation, provided that his/her professional competence meets the requirements laid down in the regulatory enactments on certification of seafarers.</w:t>
            </w:r>
          </w:p>
        </w:tc>
      </w:tr>
      <w:tr w:rsidR="00E03091" w:rsidRPr="00493EB3" w14:paraId="5577BDC5" w14:textId="77777777" w:rsidTr="002E235A">
        <w:trPr>
          <w:trHeight w:val="274"/>
        </w:trPr>
        <w:tc>
          <w:tcPr>
            <w:tcW w:w="10207" w:type="dxa"/>
            <w:tcBorders>
              <w:bottom w:val="double" w:sz="4" w:space="0" w:color="auto"/>
            </w:tcBorders>
          </w:tcPr>
          <w:p w14:paraId="28A177A5" w14:textId="77777777" w:rsidR="00E03091" w:rsidRPr="00493EB3" w:rsidRDefault="00E03091" w:rsidP="002E235A">
            <w:pPr>
              <w:spacing w:before="40"/>
              <w:jc w:val="center"/>
              <w:rPr>
                <w:rFonts w:ascii="Arial" w:hAnsi="Arial"/>
                <w:b/>
                <w:color w:val="000000"/>
                <w:sz w:val="18"/>
              </w:rPr>
            </w:pPr>
            <w:r>
              <w:rPr>
                <w:rFonts w:ascii="Arial" w:hAnsi="Arial"/>
                <w:color w:val="000000"/>
                <w:sz w:val="16"/>
                <w:vertAlign w:val="superscript"/>
              </w:rPr>
              <w:lastRenderedPageBreak/>
              <w:t>(3)</w:t>
            </w:r>
            <w:r>
              <w:rPr>
                <w:rFonts w:ascii="Arial" w:hAnsi="Arial"/>
                <w:color w:val="000000"/>
                <w:sz w:val="16"/>
              </w:rPr>
              <w:t xml:space="preserve"> If possible</w:t>
            </w:r>
          </w:p>
        </w:tc>
      </w:tr>
    </w:tbl>
    <w:p w14:paraId="6DB81DAF" w14:textId="77777777" w:rsidR="001F2A29" w:rsidRPr="00493EB3" w:rsidRDefault="001F2A29" w:rsidP="001F2A29">
      <w:pP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493EB3" w14:paraId="7D3D67A0" w14:textId="77777777" w:rsidTr="00872D7E">
        <w:trPr>
          <w:cantSplit/>
          <w:trHeight w:val="194"/>
        </w:trPr>
        <w:tc>
          <w:tcPr>
            <w:tcW w:w="10207" w:type="dxa"/>
            <w:gridSpan w:val="2"/>
            <w:tcBorders>
              <w:top w:val="double" w:sz="4" w:space="0" w:color="auto"/>
            </w:tcBorders>
            <w:shd w:val="clear" w:color="auto" w:fill="D9D9D9"/>
          </w:tcPr>
          <w:p w14:paraId="4B57AAB9" w14:textId="2F9A84AF" w:rsidR="008978DE" w:rsidRPr="00493EB3" w:rsidRDefault="008978DE" w:rsidP="00A002BE">
            <w:pPr>
              <w:spacing w:before="120" w:after="120"/>
              <w:jc w:val="center"/>
              <w:rPr>
                <w:rFonts w:ascii="Arial" w:hAnsi="Arial"/>
                <w:b/>
              </w:rPr>
            </w:pPr>
            <w:r>
              <w:rPr>
                <w:rFonts w:ascii="Arial" w:hAnsi="Arial"/>
                <w:b/>
              </w:rPr>
              <w:t xml:space="preserve">5. Description of the </w:t>
            </w:r>
            <w:r w:rsidR="001A22B8" w:rsidRPr="001A22B8">
              <w:rPr>
                <w:rFonts w:ascii="Arial" w:hAnsi="Arial"/>
                <w:b/>
              </w:rPr>
              <w:t>Certificate</w:t>
            </w:r>
          </w:p>
        </w:tc>
      </w:tr>
      <w:tr w:rsidR="00253E85" w:rsidRPr="00060DE6" w14:paraId="0DA8B6DE" w14:textId="77777777" w:rsidTr="00253E85">
        <w:trPr>
          <w:trHeight w:val="53"/>
        </w:trPr>
        <w:tc>
          <w:tcPr>
            <w:tcW w:w="5104" w:type="dxa"/>
            <w:shd w:val="clear" w:color="auto" w:fill="FFFFFF"/>
          </w:tcPr>
          <w:p w14:paraId="37BD5EF6" w14:textId="2FED72A6" w:rsidR="00253E85" w:rsidRPr="00493EB3" w:rsidRDefault="00253E85" w:rsidP="00BD270E">
            <w:pPr>
              <w:jc w:val="center"/>
              <w:rPr>
                <w:b/>
                <w:color w:val="000000"/>
                <w:sz w:val="16"/>
                <w:szCs w:val="16"/>
              </w:rPr>
            </w:pPr>
            <w:r>
              <w:rPr>
                <w:rFonts w:ascii="Arial" w:hAnsi="Arial"/>
                <w:b/>
                <w:sz w:val="16"/>
              </w:rPr>
              <w:t xml:space="preserve">Name and status of the body issuing the </w:t>
            </w:r>
            <w:r w:rsidR="001A22B8" w:rsidRPr="001A22B8">
              <w:rPr>
                <w:rFonts w:ascii="Arial" w:hAnsi="Arial"/>
                <w:b/>
                <w:sz w:val="16"/>
              </w:rPr>
              <w:t>Certificate</w:t>
            </w:r>
          </w:p>
        </w:tc>
        <w:tc>
          <w:tcPr>
            <w:tcW w:w="5103" w:type="dxa"/>
          </w:tcPr>
          <w:p w14:paraId="76F0C454" w14:textId="5165A133" w:rsidR="00253E85" w:rsidRPr="00493EB3" w:rsidRDefault="00253E85" w:rsidP="00BD270E">
            <w:pPr>
              <w:jc w:val="center"/>
              <w:rPr>
                <w:b/>
                <w:color w:val="222222"/>
                <w:sz w:val="16"/>
                <w:szCs w:val="16"/>
              </w:rPr>
            </w:pPr>
            <w:r>
              <w:rPr>
                <w:rFonts w:ascii="Arial" w:hAnsi="Arial"/>
                <w:b/>
                <w:sz w:val="16"/>
              </w:rPr>
              <w:t xml:space="preserve">National authority providing recognition of the </w:t>
            </w:r>
            <w:r w:rsidR="001A22B8" w:rsidRPr="001A22B8">
              <w:rPr>
                <w:rFonts w:ascii="Arial" w:hAnsi="Arial"/>
                <w:b/>
                <w:sz w:val="16"/>
              </w:rPr>
              <w:t>Certificate</w:t>
            </w:r>
          </w:p>
        </w:tc>
      </w:tr>
      <w:tr w:rsidR="00253E85" w:rsidRPr="00493EB3" w14:paraId="210EBF3F" w14:textId="77777777" w:rsidTr="00A41A55">
        <w:trPr>
          <w:trHeight w:val="671"/>
        </w:trPr>
        <w:tc>
          <w:tcPr>
            <w:tcW w:w="5104" w:type="dxa"/>
            <w:shd w:val="clear" w:color="auto" w:fill="FFFFFF"/>
          </w:tcPr>
          <w:p w14:paraId="1C7C08F0" w14:textId="77777777" w:rsidR="008F6F07" w:rsidRPr="00493EB3" w:rsidRDefault="00253E85" w:rsidP="003C241F">
            <w:pPr>
              <w:shd w:val="clear" w:color="auto" w:fill="FFFFFF"/>
              <w:spacing w:before="120" w:after="120"/>
              <w:rPr>
                <w:i/>
                <w:color w:val="1F3864"/>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5D6FB20F" w14:textId="77777777" w:rsidR="00253E85" w:rsidRPr="00493EB3" w:rsidRDefault="00253E85" w:rsidP="00F72B03">
            <w:pPr>
              <w:spacing w:before="120"/>
              <w:rPr>
                <w:rFonts w:ascii="Arial" w:hAnsi="Arial"/>
                <w:color w:val="000000"/>
              </w:rPr>
            </w:pPr>
            <w:r>
              <w:rPr>
                <w:color w:val="000000"/>
              </w:rPr>
              <w:t xml:space="preserve">Ministry of Education and Science of the Republic of Latvia, website: </w:t>
            </w:r>
            <w:hyperlink r:id="rId10" w:history="1">
              <w:r>
                <w:rPr>
                  <w:rStyle w:val="Hyperlink"/>
                  <w:i/>
                </w:rPr>
                <w:t>www.izm.gov.lv</w:t>
              </w:r>
            </w:hyperlink>
            <w:r>
              <w:rPr>
                <w:i/>
                <w:color w:val="000000"/>
              </w:rPr>
              <w:t xml:space="preserve"> </w:t>
            </w:r>
          </w:p>
        </w:tc>
      </w:tr>
      <w:tr w:rsidR="003C241F" w:rsidRPr="00060DE6" w14:paraId="26471630" w14:textId="77777777" w:rsidTr="003C241F">
        <w:trPr>
          <w:trHeight w:val="303"/>
        </w:trPr>
        <w:tc>
          <w:tcPr>
            <w:tcW w:w="5104" w:type="dxa"/>
          </w:tcPr>
          <w:p w14:paraId="4DCB868A" w14:textId="1323C203" w:rsidR="00B023A6" w:rsidRPr="00493EB3" w:rsidRDefault="00253E85" w:rsidP="00BD270E">
            <w:pPr>
              <w:jc w:val="center"/>
              <w:rPr>
                <w:rFonts w:ascii="Arial" w:hAnsi="Arial"/>
                <w:b/>
                <w:sz w:val="16"/>
                <w:szCs w:val="16"/>
              </w:rPr>
            </w:pPr>
            <w:r>
              <w:rPr>
                <w:rFonts w:ascii="Arial" w:hAnsi="Arial"/>
                <w:b/>
                <w:sz w:val="16"/>
              </w:rPr>
              <w:t xml:space="preserve">Level of the </w:t>
            </w:r>
            <w:r w:rsidR="001A22B8" w:rsidRPr="001A22B8">
              <w:rPr>
                <w:rFonts w:ascii="Arial" w:hAnsi="Arial"/>
                <w:b/>
                <w:sz w:val="16"/>
              </w:rPr>
              <w:t>Certificate</w:t>
            </w:r>
          </w:p>
          <w:p w14:paraId="13F52DE2" w14:textId="77777777" w:rsidR="00253E85" w:rsidRPr="00493EB3" w:rsidRDefault="00253E85" w:rsidP="00BD270E">
            <w:pPr>
              <w:jc w:val="center"/>
              <w:rPr>
                <w:b/>
                <w:sz w:val="16"/>
                <w:szCs w:val="16"/>
              </w:rPr>
            </w:pPr>
            <w:r>
              <w:rPr>
                <w:rFonts w:ascii="Arial" w:hAnsi="Arial"/>
                <w:b/>
                <w:sz w:val="16"/>
              </w:rPr>
              <w:t>(national or international)</w:t>
            </w:r>
          </w:p>
        </w:tc>
        <w:tc>
          <w:tcPr>
            <w:tcW w:w="5103" w:type="dxa"/>
          </w:tcPr>
          <w:p w14:paraId="3FEDF119" w14:textId="3CD14D4C" w:rsidR="00253E85" w:rsidRPr="00493EB3" w:rsidRDefault="001A22B8" w:rsidP="003C241F">
            <w:pPr>
              <w:pStyle w:val="Heading6"/>
              <w:jc w:val="center"/>
              <w:rPr>
                <w:sz w:val="16"/>
                <w:szCs w:val="16"/>
              </w:rPr>
            </w:pPr>
            <w:r w:rsidRPr="001A22B8">
              <w:rPr>
                <w:sz w:val="16"/>
              </w:rPr>
              <w:t>Grading scale/Grade attesting fulfilment of the requirements</w:t>
            </w:r>
          </w:p>
        </w:tc>
      </w:tr>
      <w:tr w:rsidR="00253E85" w:rsidRPr="00493EB3" w14:paraId="643B8CE1" w14:textId="77777777" w:rsidTr="00A41A55">
        <w:trPr>
          <w:trHeight w:val="575"/>
        </w:trPr>
        <w:tc>
          <w:tcPr>
            <w:tcW w:w="5104" w:type="dxa"/>
          </w:tcPr>
          <w:p w14:paraId="102AFB91" w14:textId="2431E02F" w:rsidR="00790CF5" w:rsidRPr="00493EB3" w:rsidRDefault="00253E85" w:rsidP="00F72B03">
            <w:pPr>
              <w:spacing w:before="120" w:after="120"/>
            </w:pPr>
            <w:r>
              <w:t>State-</w:t>
            </w:r>
            <w:proofErr w:type="spellStart"/>
            <w:r>
              <w:t>recognised</w:t>
            </w:r>
            <w:proofErr w:type="spellEnd"/>
            <w:r>
              <w:t xml:space="preserve"> document, corresponding to the fourth level of the Latvian Qualifications Framework (LQF </w:t>
            </w:r>
            <w:r w:rsidR="001A22B8" w:rsidRPr="001A22B8">
              <w:t xml:space="preserve">level </w:t>
            </w:r>
            <w:r>
              <w:t xml:space="preserve">4) and the fourth level of the European Qualifications Framework (EQF </w:t>
            </w:r>
            <w:r w:rsidR="001A22B8" w:rsidRPr="001A22B8">
              <w:t xml:space="preserve">level </w:t>
            </w:r>
            <w:r>
              <w:t>4).</w:t>
            </w:r>
          </w:p>
        </w:tc>
        <w:tc>
          <w:tcPr>
            <w:tcW w:w="5103" w:type="dxa"/>
          </w:tcPr>
          <w:p w14:paraId="481B8EA1" w14:textId="3A2CADD4" w:rsidR="00253E85" w:rsidRPr="00493EB3" w:rsidRDefault="00253E85" w:rsidP="00AD301A">
            <w:pPr>
              <w:spacing w:before="120"/>
              <w:jc w:val="both"/>
            </w:pPr>
            <w:r>
              <w:t>A mark of at least "average - 5" in the vocational qualification examination</w:t>
            </w:r>
            <w:r w:rsidR="00AD301A">
              <w:t xml:space="preserve"> </w:t>
            </w:r>
            <w:r w:rsidR="00BD270E">
              <w:t>(using a 10-point scale).</w:t>
            </w:r>
          </w:p>
        </w:tc>
      </w:tr>
      <w:tr w:rsidR="00BD270E" w:rsidRPr="00493EB3" w14:paraId="219E43EA" w14:textId="77777777" w:rsidTr="00BD270E">
        <w:trPr>
          <w:trHeight w:val="53"/>
        </w:trPr>
        <w:tc>
          <w:tcPr>
            <w:tcW w:w="5104" w:type="dxa"/>
          </w:tcPr>
          <w:p w14:paraId="5B987E23" w14:textId="77777777" w:rsidR="00BD270E" w:rsidRPr="00493EB3"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042BDBDC" w14:textId="77777777" w:rsidR="00BD270E" w:rsidRPr="00493EB3"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493EB3" w14:paraId="28D1D958" w14:textId="77777777" w:rsidTr="00A41A55">
        <w:trPr>
          <w:trHeight w:val="328"/>
        </w:trPr>
        <w:tc>
          <w:tcPr>
            <w:tcW w:w="5104" w:type="dxa"/>
          </w:tcPr>
          <w:p w14:paraId="4FA03C4D" w14:textId="547482B1" w:rsidR="00BD270E" w:rsidRPr="00493EB3" w:rsidRDefault="001A22B8" w:rsidP="00382158">
            <w:pPr>
              <w:spacing w:after="120"/>
              <w:rPr>
                <w:rFonts w:ascii="Arial" w:hAnsi="Arial"/>
              </w:rPr>
            </w:pPr>
            <w:r>
              <w:t>D</w:t>
            </w:r>
            <w:r w:rsidR="00790CF5">
              <w:t>iploma of vocational secondary education enables further education at LQF level 5/ EQF level 5 or LQF level 6/ EQF level 6.</w:t>
            </w:r>
          </w:p>
        </w:tc>
        <w:tc>
          <w:tcPr>
            <w:tcW w:w="5103" w:type="dxa"/>
          </w:tcPr>
          <w:p w14:paraId="51363D13" w14:textId="77777777" w:rsidR="00FD0911" w:rsidRPr="00493EB3" w:rsidRDefault="001B1371" w:rsidP="001B1371">
            <w:pPr>
              <w:spacing w:before="120" w:after="120"/>
              <w:rPr>
                <w:i/>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493EB3" w14:paraId="31CA1E8E" w14:textId="77777777" w:rsidTr="00382158">
        <w:trPr>
          <w:cantSplit/>
          <w:trHeight w:val="53"/>
        </w:trPr>
        <w:tc>
          <w:tcPr>
            <w:tcW w:w="10207" w:type="dxa"/>
            <w:gridSpan w:val="2"/>
          </w:tcPr>
          <w:p w14:paraId="158BDDD6" w14:textId="77777777" w:rsidR="008978DE" w:rsidRPr="00493EB3" w:rsidRDefault="008978DE" w:rsidP="00382158">
            <w:pPr>
              <w:jc w:val="center"/>
              <w:rPr>
                <w:sz w:val="16"/>
                <w:szCs w:val="16"/>
              </w:rPr>
            </w:pPr>
            <w:r>
              <w:rPr>
                <w:rFonts w:ascii="Arial" w:hAnsi="Arial"/>
                <w:b/>
                <w:sz w:val="16"/>
              </w:rPr>
              <w:t>Legal basis</w:t>
            </w:r>
          </w:p>
        </w:tc>
      </w:tr>
      <w:tr w:rsidR="00382158" w:rsidRPr="00493EB3" w14:paraId="35B73B02" w14:textId="77777777" w:rsidTr="00A41A55">
        <w:trPr>
          <w:cantSplit/>
          <w:trHeight w:val="231"/>
        </w:trPr>
        <w:tc>
          <w:tcPr>
            <w:tcW w:w="10207" w:type="dxa"/>
            <w:gridSpan w:val="2"/>
            <w:tcBorders>
              <w:bottom w:val="double" w:sz="4" w:space="0" w:color="auto"/>
            </w:tcBorders>
          </w:tcPr>
          <w:p w14:paraId="3202EFD3" w14:textId="77777777" w:rsidR="00382158" w:rsidRPr="00493EB3" w:rsidRDefault="00382158" w:rsidP="00382158">
            <w:pPr>
              <w:spacing w:before="120" w:after="120"/>
              <w:rPr>
                <w:rFonts w:ascii="Arial" w:hAnsi="Arial"/>
                <w:color w:val="000000"/>
              </w:rPr>
            </w:pPr>
            <w:r>
              <w:rPr>
                <w:color w:val="000000"/>
              </w:rPr>
              <w:t>Vocational Education Law (Section 6)</w:t>
            </w:r>
          </w:p>
        </w:tc>
      </w:tr>
    </w:tbl>
    <w:p w14:paraId="515F8EE5" w14:textId="77777777" w:rsidR="00E00A1E" w:rsidRPr="00493EB3" w:rsidRDefault="00E00A1E" w:rsidP="001F2A29">
      <w:pP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493EB3" w14:paraId="61013873"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59F9D8DB" w14:textId="7C439975" w:rsidR="008978DE" w:rsidRPr="00493EB3" w:rsidRDefault="008978DE" w:rsidP="00A002BE">
            <w:pPr>
              <w:spacing w:before="120" w:after="120"/>
              <w:jc w:val="center"/>
              <w:rPr>
                <w:rFonts w:ascii="Arial" w:hAnsi="Arial"/>
                <w:b/>
              </w:rPr>
            </w:pPr>
            <w:r>
              <w:rPr>
                <w:rFonts w:ascii="Arial" w:hAnsi="Arial"/>
                <w:b/>
              </w:rPr>
              <w:t xml:space="preserve">6. Means of obtaining the </w:t>
            </w:r>
            <w:r w:rsidR="001A22B8" w:rsidRPr="001A22B8">
              <w:rPr>
                <w:rFonts w:ascii="Arial" w:hAnsi="Arial"/>
                <w:b/>
              </w:rPr>
              <w:t>Certificate</w:t>
            </w:r>
          </w:p>
        </w:tc>
      </w:tr>
      <w:tr w:rsidR="00256EA9" w:rsidRPr="00060DE6" w14:paraId="5777489C" w14:textId="77777777" w:rsidTr="001F2A29">
        <w:trPr>
          <w:trHeight w:val="1178"/>
        </w:trPr>
        <w:tc>
          <w:tcPr>
            <w:tcW w:w="5103" w:type="dxa"/>
            <w:gridSpan w:val="2"/>
            <w:tcBorders>
              <w:left w:val="double" w:sz="4" w:space="0" w:color="auto"/>
            </w:tcBorders>
          </w:tcPr>
          <w:p w14:paraId="06DF8D64" w14:textId="77777777" w:rsidR="00256EA9" w:rsidRPr="00D83E76" w:rsidRDefault="000A5D30" w:rsidP="00052AF1">
            <w:pPr>
              <w:spacing w:before="120"/>
              <w:rPr>
                <w:color w:val="000000"/>
                <w:sz w:val="24"/>
                <w:szCs w:val="24"/>
              </w:rPr>
            </w:pPr>
            <w:r>
              <w:rPr>
                <w:rFonts w:ascii="MS Gothic" w:eastAsia="MS Gothic" w:hAnsi="MS Gothic" w:hint="eastAsia"/>
                <w:color w:val="000000"/>
                <w:sz w:val="24"/>
                <w:szCs w:val="24"/>
                <w:lang w:val="lv-LV"/>
              </w:rPr>
              <w:t>☐</w:t>
            </w:r>
            <w:r w:rsidR="004550D4">
              <w:rPr>
                <w:color w:val="000000"/>
                <w:sz w:val="24"/>
              </w:rPr>
              <w:t xml:space="preserve"> Formal education:</w:t>
            </w:r>
          </w:p>
          <w:p w14:paraId="493FE13C" w14:textId="77777777" w:rsidR="00256EA9" w:rsidRPr="00493EB3" w:rsidRDefault="000A5D30" w:rsidP="00052AF1">
            <w:pPr>
              <w:spacing w:before="120"/>
              <w:ind w:left="709"/>
              <w:rPr>
                <w:color w:val="000000"/>
              </w:rPr>
            </w:pPr>
            <w:r>
              <w:rPr>
                <w:rFonts w:ascii="MS Gothic" w:eastAsia="MS Gothic" w:hAnsi="MS Gothic" w:hint="eastAsia"/>
                <w:color w:val="000000"/>
                <w:lang w:val="lv-LV"/>
              </w:rPr>
              <w:t>☐</w:t>
            </w:r>
            <w:r w:rsidR="004550D4">
              <w:rPr>
                <w:color w:val="000000"/>
              </w:rPr>
              <w:t xml:space="preserve"> Full-time</w:t>
            </w:r>
          </w:p>
          <w:p w14:paraId="32B0A592" w14:textId="77777777" w:rsidR="00256EA9" w:rsidRPr="00493EB3" w:rsidRDefault="000A5D30" w:rsidP="00052AF1">
            <w:pPr>
              <w:ind w:left="709"/>
              <w:rPr>
                <w:color w:val="000000"/>
              </w:rPr>
            </w:pPr>
            <w:r>
              <w:rPr>
                <w:rFonts w:ascii="MS Gothic" w:eastAsia="MS Gothic" w:hAnsi="MS Gothic" w:hint="eastAsia"/>
                <w:color w:val="000000"/>
                <w:lang w:val="lv-LV"/>
              </w:rPr>
              <w:t>☐</w:t>
            </w:r>
            <w:r w:rsidR="004550D4">
              <w:rPr>
                <w:color w:val="000000"/>
              </w:rPr>
              <w:t xml:space="preserve"> Full-time (work-based training)</w:t>
            </w:r>
          </w:p>
          <w:p w14:paraId="3DCCA5A9" w14:textId="77777777" w:rsidR="00256EA9" w:rsidRPr="00493EB3" w:rsidRDefault="000A5D30" w:rsidP="00052AF1">
            <w:pPr>
              <w:ind w:left="709"/>
              <w:rPr>
                <w:color w:val="000000"/>
              </w:rPr>
            </w:pPr>
            <w:r>
              <w:rPr>
                <w:rFonts w:ascii="MS Gothic" w:eastAsia="MS Gothic" w:hAnsi="MS Gothic" w:hint="eastAsia"/>
                <w:color w:val="000000"/>
                <w:lang w:val="lv-LV"/>
              </w:rPr>
              <w:t>☐</w:t>
            </w:r>
            <w:r w:rsidR="004550D4">
              <w:rPr>
                <w:color w:val="000000"/>
              </w:rPr>
              <w:t xml:space="preserve"> Part-time</w:t>
            </w:r>
          </w:p>
        </w:tc>
        <w:tc>
          <w:tcPr>
            <w:tcW w:w="5104" w:type="dxa"/>
            <w:gridSpan w:val="2"/>
            <w:tcBorders>
              <w:right w:val="double" w:sz="4" w:space="0" w:color="auto"/>
            </w:tcBorders>
          </w:tcPr>
          <w:p w14:paraId="6EFC1324" w14:textId="77777777" w:rsidR="00256EA9" w:rsidRPr="00493EB3" w:rsidRDefault="000A5D30" w:rsidP="00052AF1">
            <w:pPr>
              <w:spacing w:before="120"/>
              <w:rPr>
                <w:color w:val="000000"/>
                <w:sz w:val="24"/>
                <w:szCs w:val="24"/>
              </w:rPr>
            </w:pPr>
            <w:r>
              <w:rPr>
                <w:rFonts w:ascii="MS Gothic" w:eastAsia="MS Gothic" w:hAnsi="MS Gothic" w:hint="eastAsia"/>
                <w:color w:val="000000"/>
                <w:sz w:val="24"/>
                <w:szCs w:val="24"/>
                <w:lang w:val="lv-LV"/>
              </w:rPr>
              <w:t>☐</w:t>
            </w:r>
            <w:r w:rsidR="004550D4">
              <w:rPr>
                <w:color w:val="000000"/>
                <w:sz w:val="24"/>
              </w:rPr>
              <w:t xml:space="preserve"> Education acquired outside the formal education system</w:t>
            </w:r>
          </w:p>
        </w:tc>
      </w:tr>
      <w:tr w:rsidR="00B023A6" w:rsidRPr="00493EB3" w14:paraId="3739F4CE" w14:textId="77777777" w:rsidTr="00256EA9">
        <w:trPr>
          <w:trHeight w:val="445"/>
        </w:trPr>
        <w:tc>
          <w:tcPr>
            <w:tcW w:w="10207" w:type="dxa"/>
            <w:gridSpan w:val="4"/>
            <w:tcBorders>
              <w:left w:val="double" w:sz="4" w:space="0" w:color="auto"/>
              <w:bottom w:val="double" w:sz="4" w:space="0" w:color="auto"/>
              <w:right w:val="double" w:sz="4" w:space="0" w:color="auto"/>
            </w:tcBorders>
          </w:tcPr>
          <w:p w14:paraId="16295E51" w14:textId="77777777" w:rsidR="00256EA9" w:rsidRPr="00493EB3" w:rsidRDefault="00256EA9" w:rsidP="006543C2">
            <w:pPr>
              <w:rPr>
                <w:rFonts w:ascii="Arial" w:hAnsi="Arial"/>
                <w:b/>
                <w:sz w:val="16"/>
                <w:szCs w:val="16"/>
                <w:lang w:val="lv-LV"/>
              </w:rPr>
            </w:pPr>
          </w:p>
          <w:p w14:paraId="4C141481" w14:textId="77777777" w:rsidR="00B023A6" w:rsidRPr="00493EB3" w:rsidRDefault="00B023A6" w:rsidP="006543C2">
            <w:r>
              <w:rPr>
                <w:rFonts w:ascii="Arial" w:hAnsi="Arial"/>
                <w:b/>
              </w:rPr>
              <w:t>Total duration of training**</w:t>
            </w:r>
            <w:r>
              <w:rPr>
                <w:rFonts w:ascii="Arial" w:hAnsi="Arial"/>
              </w:rPr>
              <w:t xml:space="preserve"> (hours/years) </w:t>
            </w:r>
            <w:r>
              <w:rPr>
                <w:color w:val="1F3864"/>
              </w:rPr>
              <w:t>_______________</w:t>
            </w:r>
          </w:p>
          <w:p w14:paraId="396372DA" w14:textId="77777777" w:rsidR="00256EA9" w:rsidRPr="00493EB3" w:rsidRDefault="00256EA9" w:rsidP="006543C2">
            <w:pPr>
              <w:rPr>
                <w:sz w:val="16"/>
                <w:szCs w:val="16"/>
                <w:lang w:val="lv-LV" w:eastAsia="en-US"/>
              </w:rPr>
            </w:pPr>
          </w:p>
        </w:tc>
      </w:tr>
      <w:tr w:rsidR="008978DE" w:rsidRPr="00493EB3" w14:paraId="41CDDB75" w14:textId="77777777" w:rsidTr="00052AF1">
        <w:trPr>
          <w:trHeight w:val="20"/>
        </w:trPr>
        <w:tc>
          <w:tcPr>
            <w:tcW w:w="3402" w:type="dxa"/>
            <w:tcBorders>
              <w:top w:val="double" w:sz="4" w:space="0" w:color="auto"/>
              <w:left w:val="double" w:sz="4" w:space="0" w:color="auto"/>
            </w:tcBorders>
          </w:tcPr>
          <w:p w14:paraId="457153FC" w14:textId="77777777" w:rsidR="008978DE" w:rsidRPr="00493EB3"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27AFB986" w14:textId="77777777" w:rsidR="008978DE" w:rsidRPr="00493EB3"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1B6D0E64" w14:textId="77777777" w:rsidR="008978DE" w:rsidRPr="00493EB3"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493EB3" w14:paraId="103BCF85" w14:textId="77777777" w:rsidTr="00052AF1">
        <w:trPr>
          <w:trHeight w:val="323"/>
        </w:trPr>
        <w:tc>
          <w:tcPr>
            <w:tcW w:w="3402" w:type="dxa"/>
            <w:tcBorders>
              <w:left w:val="double" w:sz="4" w:space="0" w:color="auto"/>
            </w:tcBorders>
          </w:tcPr>
          <w:p w14:paraId="1168FC23" w14:textId="77777777" w:rsidR="00966AC8" w:rsidRPr="00493EB3" w:rsidRDefault="00966AC8" w:rsidP="008C0018">
            <w:pPr>
              <w:spacing w:before="120"/>
            </w:pPr>
            <w:r>
              <w:t>Part of the education programme completed in the education institution</w:t>
            </w:r>
          </w:p>
        </w:tc>
        <w:tc>
          <w:tcPr>
            <w:tcW w:w="3402" w:type="dxa"/>
            <w:gridSpan w:val="2"/>
            <w:shd w:val="clear" w:color="auto" w:fill="FFFFFF"/>
          </w:tcPr>
          <w:p w14:paraId="039D7C06" w14:textId="77777777" w:rsidR="00966AC8" w:rsidRPr="00493EB3" w:rsidRDefault="001B1371" w:rsidP="00B023A6">
            <w:pPr>
              <w:spacing w:before="120"/>
              <w:jc w:val="center"/>
              <w:rPr>
                <w:i/>
                <w:color w:val="1F3864"/>
              </w:rPr>
            </w:pPr>
            <w:r>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4BAB9339" w14:textId="77777777" w:rsidR="00A41A55" w:rsidRPr="00493EB3" w:rsidRDefault="00B023A6" w:rsidP="008C0018">
            <w:pPr>
              <w:spacing w:before="120" w:after="120"/>
              <w:jc w:val="center"/>
              <w:rPr>
                <w:i/>
                <w:color w:val="1F3864"/>
              </w:rPr>
            </w:pPr>
            <w:r>
              <w:rPr>
                <w:i/>
                <w:color w:val="1F3864"/>
              </w:rPr>
              <w:t>&lt;&lt;Indicate the amount (in hours or training weeks) of the education programme completed on the premises of the education institution&gt;&gt;</w:t>
            </w:r>
          </w:p>
        </w:tc>
      </w:tr>
      <w:tr w:rsidR="00966AC8" w:rsidRPr="00060DE6" w14:paraId="2213711B" w14:textId="77777777" w:rsidTr="00052AF1">
        <w:trPr>
          <w:trHeight w:val="350"/>
        </w:trPr>
        <w:tc>
          <w:tcPr>
            <w:tcW w:w="3402" w:type="dxa"/>
            <w:tcBorders>
              <w:left w:val="double" w:sz="4" w:space="0" w:color="auto"/>
            </w:tcBorders>
          </w:tcPr>
          <w:p w14:paraId="6194E4AD" w14:textId="77777777" w:rsidR="00966AC8" w:rsidRPr="00493EB3" w:rsidRDefault="00966AC8" w:rsidP="008C0018">
            <w:pPr>
              <w:spacing w:before="120"/>
              <w:rPr>
                <w:b/>
              </w:rPr>
            </w:pPr>
            <w:r>
              <w:t>Part of the education programme completed in workplace internship, including work-based training</w:t>
            </w:r>
          </w:p>
        </w:tc>
        <w:tc>
          <w:tcPr>
            <w:tcW w:w="3402" w:type="dxa"/>
            <w:gridSpan w:val="2"/>
            <w:tcBorders>
              <w:bottom w:val="nil"/>
            </w:tcBorders>
            <w:shd w:val="clear" w:color="auto" w:fill="FFFFFF"/>
          </w:tcPr>
          <w:p w14:paraId="2815A601" w14:textId="77777777" w:rsidR="002C30F7" w:rsidRPr="00493EB3" w:rsidRDefault="00B023A6" w:rsidP="00B023A6">
            <w:pPr>
              <w:spacing w:before="120"/>
              <w:jc w:val="center"/>
              <w:rPr>
                <w:i/>
                <w:color w:val="1F3864"/>
              </w:rPr>
            </w:pPr>
            <w:r>
              <w:rPr>
                <w:i/>
                <w:color w:val="1F3864"/>
              </w:rPr>
              <w:t>&lt;&lt;Indicate the amount (%) of the education programme completed outside the premises of the education institution,</w:t>
            </w:r>
          </w:p>
          <w:p w14:paraId="618E3014" w14:textId="77777777" w:rsidR="00966AC8" w:rsidRPr="00493EB3"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26D7668E" w14:textId="77777777" w:rsidR="00B97E1D" w:rsidRPr="00493EB3" w:rsidRDefault="00B023A6" w:rsidP="00B023A6">
            <w:pPr>
              <w:spacing w:before="120"/>
              <w:jc w:val="center"/>
              <w:rPr>
                <w:i/>
                <w:color w:val="1F3864"/>
              </w:rPr>
            </w:pPr>
            <w:r>
              <w:rPr>
                <w:i/>
                <w:color w:val="1F3864"/>
              </w:rPr>
              <w:t>&lt;&lt;Indicate the amount (in hours or training weeks) of the education programme completed outside the premises of the education institution,</w:t>
            </w:r>
          </w:p>
          <w:p w14:paraId="30860FA8" w14:textId="77777777" w:rsidR="00966AC8" w:rsidRPr="00493EB3" w:rsidRDefault="00A41A55" w:rsidP="00BA6FFE">
            <w:pPr>
              <w:spacing w:before="20" w:after="20"/>
              <w:jc w:val="center"/>
              <w:rPr>
                <w:sz w:val="18"/>
                <w:szCs w:val="18"/>
                <w:highlight w:val="yellow"/>
              </w:rPr>
            </w:pPr>
            <w:r>
              <w:rPr>
                <w:i/>
                <w:color w:val="1F3864"/>
              </w:rPr>
              <w:t>i.e. practical training in enterprises, workplace internships, work-based training&gt;&gt;</w:t>
            </w:r>
          </w:p>
        </w:tc>
      </w:tr>
      <w:tr w:rsidR="00966AC8" w:rsidRPr="00493EB3" w14:paraId="495DCAF1" w14:textId="77777777" w:rsidTr="00A41A55">
        <w:trPr>
          <w:trHeight w:val="274"/>
        </w:trPr>
        <w:tc>
          <w:tcPr>
            <w:tcW w:w="10207" w:type="dxa"/>
            <w:gridSpan w:val="4"/>
            <w:tcBorders>
              <w:left w:val="double" w:sz="4" w:space="0" w:color="auto"/>
              <w:bottom w:val="double" w:sz="4" w:space="0" w:color="auto"/>
              <w:right w:val="double" w:sz="4" w:space="0" w:color="auto"/>
            </w:tcBorders>
          </w:tcPr>
          <w:p w14:paraId="5EE6E0D0" w14:textId="77777777" w:rsidR="00B1064A" w:rsidRDefault="00052AF1" w:rsidP="001F2A29">
            <w:pPr>
              <w:spacing w:before="120" w:after="20"/>
              <w:rPr>
                <w:color w:val="000000"/>
                <w:sz w:val="18"/>
                <w:szCs w:val="18"/>
              </w:rPr>
            </w:pPr>
            <w:r>
              <w:rPr>
                <w:b/>
                <w:color w:val="000000"/>
                <w:sz w:val="18"/>
              </w:rPr>
              <w:t>**</w:t>
            </w:r>
            <w:r>
              <w:rPr>
                <w:color w:val="000000"/>
                <w:sz w:val="18"/>
              </w:rPr>
              <w:t xml:space="preserve"> Applicable to formal education.</w:t>
            </w:r>
          </w:p>
          <w:p w14:paraId="5A4B7AC1" w14:textId="77777777" w:rsidR="00D83E76" w:rsidRPr="00493EB3" w:rsidRDefault="00D83E76" w:rsidP="001F2A29">
            <w:pPr>
              <w:spacing w:before="120" w:after="20"/>
              <w:rPr>
                <w:color w:val="000000"/>
                <w:sz w:val="18"/>
                <w:szCs w:val="18"/>
                <w:lang w:val="lv-LV"/>
              </w:rPr>
            </w:pPr>
          </w:p>
          <w:p w14:paraId="1CB12D3C" w14:textId="77777777" w:rsidR="00966AC8" w:rsidRPr="00493EB3" w:rsidRDefault="00966AC8" w:rsidP="00BA6FFE">
            <w:pPr>
              <w:spacing w:before="40" w:after="40"/>
              <w:rPr>
                <w:b/>
                <w:color w:val="000000"/>
              </w:rPr>
            </w:pPr>
            <w:r>
              <w:rPr>
                <w:b/>
                <w:color w:val="000000"/>
              </w:rPr>
              <w:t>Further information available at:</w:t>
            </w:r>
          </w:p>
          <w:p w14:paraId="54211895" w14:textId="77777777" w:rsidR="00966AC8" w:rsidRPr="00493EB3" w:rsidRDefault="004550D4">
            <w:pPr>
              <w:rPr>
                <w:i/>
                <w:color w:val="000000"/>
              </w:rPr>
            </w:pPr>
            <w:hyperlink r:id="rId11" w:history="1">
              <w:r>
                <w:rPr>
                  <w:rStyle w:val="Hyperlink"/>
                  <w:i/>
                </w:rPr>
                <w:t>www.izm.gov.lv</w:t>
              </w:r>
            </w:hyperlink>
            <w:r>
              <w:rPr>
                <w:i/>
                <w:color w:val="000000"/>
              </w:rPr>
              <w:t xml:space="preserve"> </w:t>
            </w:r>
          </w:p>
          <w:p w14:paraId="14B8F867" w14:textId="77777777" w:rsidR="00966AC8" w:rsidRDefault="004550D4">
            <w:pPr>
              <w:rPr>
                <w:i/>
              </w:rPr>
            </w:pPr>
            <w:hyperlink r:id="rId12" w:history="1">
              <w:r>
                <w:rPr>
                  <w:rStyle w:val="Hyperlink"/>
                  <w:i/>
                </w:rPr>
                <w:t>https://visc.gov.lv/profizglitiba/stand_saraksts_mk_not_626.shtml</w:t>
              </w:r>
            </w:hyperlink>
          </w:p>
          <w:p w14:paraId="171E4CF4" w14:textId="77777777" w:rsidR="00D83E76" w:rsidRPr="00493EB3" w:rsidRDefault="00D83E76">
            <w:pPr>
              <w:rPr>
                <w:i/>
                <w:lang w:val="lv-LV"/>
              </w:rPr>
            </w:pPr>
          </w:p>
          <w:p w14:paraId="007AF5B3" w14:textId="77777777" w:rsidR="00966AC8" w:rsidRPr="00493EB3" w:rsidRDefault="00966AC8" w:rsidP="00BA6FFE">
            <w:pPr>
              <w:spacing w:before="40" w:after="40"/>
              <w:rPr>
                <w:b/>
                <w:color w:val="000000"/>
              </w:rPr>
            </w:pPr>
            <w:r>
              <w:rPr>
                <w:b/>
                <w:color w:val="000000"/>
              </w:rPr>
              <w:t>National Information Centre:</w:t>
            </w:r>
          </w:p>
          <w:p w14:paraId="08308B54" w14:textId="77777777" w:rsidR="00B97E1D" w:rsidRPr="00493EB3" w:rsidRDefault="00966AC8" w:rsidP="00052AF1">
            <w:pPr>
              <w:spacing w:after="120"/>
              <w:rPr>
                <w:color w:val="000000"/>
              </w:rPr>
            </w:pPr>
            <w:r>
              <w:rPr>
                <w:color w:val="000000"/>
              </w:rPr>
              <w:lastRenderedPageBreak/>
              <w:t xml:space="preserve">National Europass Centre in Latvia, </w:t>
            </w:r>
            <w:hyperlink r:id="rId13" w:history="1">
              <w:r>
                <w:rPr>
                  <w:rStyle w:val="Hyperlink"/>
                  <w:i/>
                  <w:bdr w:val="none" w:sz="0" w:space="0" w:color="auto" w:frame="1"/>
                </w:rPr>
                <w:t>http://www.europass.lv/</w:t>
              </w:r>
            </w:hyperlink>
            <w:r>
              <w:rPr>
                <w:i/>
                <w:color w:val="000000"/>
                <w:bdr w:val="none" w:sz="0" w:space="0" w:color="auto" w:frame="1"/>
              </w:rPr>
              <w:t xml:space="preserve"> </w:t>
            </w:r>
          </w:p>
        </w:tc>
      </w:tr>
    </w:tbl>
    <w:p w14:paraId="2E3F5216" w14:textId="77777777" w:rsidR="008978DE" w:rsidRPr="00493EB3" w:rsidRDefault="008978DE" w:rsidP="00633E72">
      <w:pPr>
        <w:rPr>
          <w:rFonts w:ascii="Arial" w:hAnsi="Arial"/>
          <w:lang w:val="lv-LV"/>
        </w:rPr>
      </w:pPr>
    </w:p>
    <w:sectPr w:rsidR="008978DE" w:rsidRPr="00493EB3" w:rsidSect="009A63A6">
      <w:headerReference w:type="default" r:id="rId14"/>
      <w:footerReference w:type="default" r:id="rId15"/>
      <w:footerReference w:type="first" r:id="rId16"/>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72B96" w14:textId="77777777" w:rsidR="004507A9" w:rsidRDefault="004507A9">
      <w:r>
        <w:separator/>
      </w:r>
    </w:p>
  </w:endnote>
  <w:endnote w:type="continuationSeparator" w:id="0">
    <w:p w14:paraId="044088E1" w14:textId="77777777" w:rsidR="004507A9" w:rsidRDefault="00450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70928" w14:textId="77777777" w:rsidR="002C2CF3" w:rsidRPr="002A1990" w:rsidRDefault="002C2CF3" w:rsidP="002C2CF3">
    <w:pPr>
      <w:pStyle w:val="Header"/>
      <w:jc w:val="right"/>
    </w:pPr>
    <w:r>
      <w:fldChar w:fldCharType="begin"/>
    </w:r>
    <w:r>
      <w:instrText xml:space="preserve"> PAGE   \* MERGEFORMAT </w:instrText>
    </w:r>
    <w:r>
      <w:fldChar w:fldCharType="separate"/>
    </w:r>
    <w:r w:rsidR="004550D4">
      <w:t>3</w:t>
    </w:r>
    <w:r>
      <w:fldChar w:fldCharType="end"/>
    </w:r>
  </w:p>
  <w:p w14:paraId="05E70313"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F8FD8"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264E0F49" w14:textId="77777777" w:rsidR="003C241F" w:rsidRDefault="002C2CF3" w:rsidP="003C241F">
    <w:pPr>
      <w:pStyle w:val="Footer"/>
      <w:jc w:val="both"/>
      <w:rPr>
        <w:sz w:val="16"/>
      </w:rPr>
    </w:pPr>
    <w:r>
      <w:rPr>
        <w:sz w:val="16"/>
      </w:rPr>
      <w:t xml:space="preserve">This document is designed to provide additional information about the specified certificate and does not have any legal </w:t>
    </w:r>
    <w:proofErr w:type="gramStart"/>
    <w:r>
      <w:rPr>
        <w:sz w:val="16"/>
      </w:rPr>
      <w:t>status in itself</w:t>
    </w:r>
    <w:proofErr w:type="gramEnd"/>
    <w:r>
      <w:rPr>
        <w:sz w:val="16"/>
      </w:rPr>
      <w:t>.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1BAD37BE" w14:textId="77777777" w:rsidR="003C241F" w:rsidRDefault="003C241F" w:rsidP="003C241F">
    <w:pPr>
      <w:pStyle w:val="Footer"/>
      <w:jc w:val="both"/>
      <w:rPr>
        <w:i/>
        <w:color w:val="000000"/>
        <w:sz w:val="16"/>
      </w:rPr>
    </w:pPr>
    <w:r>
      <w:rPr>
        <w:sz w:val="16"/>
      </w:rPr>
      <w:t>More information</w:t>
    </w:r>
    <w:r>
      <w:rPr>
        <w:color w:val="000000"/>
        <w:sz w:val="16"/>
      </w:rPr>
      <w:t xml:space="preserve">: </w:t>
    </w:r>
    <w:r>
      <w:rPr>
        <w:i/>
        <w:color w:val="000000"/>
        <w:sz w:val="16"/>
      </w:rPr>
      <w:t>http://europass.cedefop.europa.eu</w:t>
    </w:r>
    <w:r>
      <w:rPr>
        <w:color w:val="000000"/>
        <w:sz w:val="16"/>
      </w:rPr>
      <w:t xml:space="preserve"> and </w:t>
    </w:r>
    <w:hyperlink r:id="rId1" w:history="1">
      <w:r>
        <w:rPr>
          <w:rStyle w:val="Hyperlink"/>
          <w:i/>
          <w:sz w:val="16"/>
        </w:rPr>
        <w:t>http://www.europass.lv/</w:t>
      </w:r>
    </w:hyperlink>
  </w:p>
  <w:p w14:paraId="5F402DCB"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86FD4" w14:textId="77777777" w:rsidR="004507A9" w:rsidRDefault="004507A9">
      <w:r>
        <w:separator/>
      </w:r>
    </w:p>
  </w:footnote>
  <w:footnote w:type="continuationSeparator" w:id="0">
    <w:p w14:paraId="297B99E0" w14:textId="77777777" w:rsidR="004507A9" w:rsidRDefault="00450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6CF82"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C2AF2"/>
    <w:multiLevelType w:val="multilevel"/>
    <w:tmpl w:val="6A3CE11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7AF2379"/>
    <w:multiLevelType w:val="multilevel"/>
    <w:tmpl w:val="FFFFFFFF"/>
    <w:lvl w:ilvl="0">
      <w:start w:val="3"/>
      <w:numFmt w:val="decimal"/>
      <w:lvlText w:val="%1."/>
      <w:lvlJc w:val="left"/>
      <w:pPr>
        <w:ind w:left="360" w:hanging="360"/>
      </w:pPr>
      <w:rPr>
        <w:rFonts w:cs="Times New Roman" w:hint="default"/>
      </w:rPr>
    </w:lvl>
    <w:lvl w:ilvl="1">
      <w:start w:val="7"/>
      <w:numFmt w:val="decimal"/>
      <w:lvlText w:val="%1.%2."/>
      <w:lvlJc w:val="left"/>
      <w:pPr>
        <w:ind w:left="1779"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42C83B52"/>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7531750">
    <w:abstractNumId w:val="3"/>
  </w:num>
  <w:num w:numId="2" w16cid:durableId="2053311551">
    <w:abstractNumId w:val="1"/>
  </w:num>
  <w:num w:numId="3" w16cid:durableId="1899509267">
    <w:abstractNumId w:val="2"/>
  </w:num>
  <w:num w:numId="4" w16cid:durableId="86351390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4334C"/>
    <w:rsid w:val="000513F7"/>
    <w:rsid w:val="00052AF1"/>
    <w:rsid w:val="00060DE6"/>
    <w:rsid w:val="00071BE2"/>
    <w:rsid w:val="000751C3"/>
    <w:rsid w:val="00075434"/>
    <w:rsid w:val="000800ED"/>
    <w:rsid w:val="00087116"/>
    <w:rsid w:val="00094EC4"/>
    <w:rsid w:val="000A5D30"/>
    <w:rsid w:val="000A654D"/>
    <w:rsid w:val="000B4CD6"/>
    <w:rsid w:val="000B6FF5"/>
    <w:rsid w:val="000B7968"/>
    <w:rsid w:val="000B7E5F"/>
    <w:rsid w:val="000D7FDC"/>
    <w:rsid w:val="000E2812"/>
    <w:rsid w:val="000E6020"/>
    <w:rsid w:val="000E6826"/>
    <w:rsid w:val="000F329E"/>
    <w:rsid w:val="00101034"/>
    <w:rsid w:val="001033DD"/>
    <w:rsid w:val="00115799"/>
    <w:rsid w:val="00117885"/>
    <w:rsid w:val="00126F36"/>
    <w:rsid w:val="00135B26"/>
    <w:rsid w:val="00143EC3"/>
    <w:rsid w:val="00144467"/>
    <w:rsid w:val="00150C4D"/>
    <w:rsid w:val="00155B7F"/>
    <w:rsid w:val="00161969"/>
    <w:rsid w:val="0016552F"/>
    <w:rsid w:val="00171489"/>
    <w:rsid w:val="001778CE"/>
    <w:rsid w:val="001831E8"/>
    <w:rsid w:val="00192A98"/>
    <w:rsid w:val="001A22B8"/>
    <w:rsid w:val="001B1371"/>
    <w:rsid w:val="001C3138"/>
    <w:rsid w:val="001D0555"/>
    <w:rsid w:val="001D1356"/>
    <w:rsid w:val="001D4357"/>
    <w:rsid w:val="001E6D06"/>
    <w:rsid w:val="001F0013"/>
    <w:rsid w:val="001F1C9D"/>
    <w:rsid w:val="001F2A29"/>
    <w:rsid w:val="001F4537"/>
    <w:rsid w:val="001F45B5"/>
    <w:rsid w:val="00206636"/>
    <w:rsid w:val="002076CA"/>
    <w:rsid w:val="00231D22"/>
    <w:rsid w:val="00233A3F"/>
    <w:rsid w:val="0023670D"/>
    <w:rsid w:val="00253E85"/>
    <w:rsid w:val="002554EE"/>
    <w:rsid w:val="00256EA9"/>
    <w:rsid w:val="002618D8"/>
    <w:rsid w:val="00261DEE"/>
    <w:rsid w:val="00262018"/>
    <w:rsid w:val="00264B92"/>
    <w:rsid w:val="00270D20"/>
    <w:rsid w:val="00272337"/>
    <w:rsid w:val="00276E9C"/>
    <w:rsid w:val="00277B47"/>
    <w:rsid w:val="00282C40"/>
    <w:rsid w:val="002931A8"/>
    <w:rsid w:val="002A1990"/>
    <w:rsid w:val="002A3E1C"/>
    <w:rsid w:val="002A7D7B"/>
    <w:rsid w:val="002B02B0"/>
    <w:rsid w:val="002C2CF3"/>
    <w:rsid w:val="002C30F7"/>
    <w:rsid w:val="002E235A"/>
    <w:rsid w:val="002E5464"/>
    <w:rsid w:val="002E7621"/>
    <w:rsid w:val="002F2903"/>
    <w:rsid w:val="002F74D5"/>
    <w:rsid w:val="00305B92"/>
    <w:rsid w:val="00305DA0"/>
    <w:rsid w:val="003103D2"/>
    <w:rsid w:val="00313D1A"/>
    <w:rsid w:val="00323356"/>
    <w:rsid w:val="00327751"/>
    <w:rsid w:val="00327A5F"/>
    <w:rsid w:val="00337C59"/>
    <w:rsid w:val="00343172"/>
    <w:rsid w:val="003522C3"/>
    <w:rsid w:val="00356B1C"/>
    <w:rsid w:val="00357565"/>
    <w:rsid w:val="00357630"/>
    <w:rsid w:val="0037752F"/>
    <w:rsid w:val="00382158"/>
    <w:rsid w:val="00386C7C"/>
    <w:rsid w:val="003956A6"/>
    <w:rsid w:val="003B729F"/>
    <w:rsid w:val="003C241F"/>
    <w:rsid w:val="003C2A02"/>
    <w:rsid w:val="003C701D"/>
    <w:rsid w:val="003C722E"/>
    <w:rsid w:val="003D5200"/>
    <w:rsid w:val="003E50A3"/>
    <w:rsid w:val="004046B4"/>
    <w:rsid w:val="0040725B"/>
    <w:rsid w:val="004151F4"/>
    <w:rsid w:val="00417EC4"/>
    <w:rsid w:val="00420F01"/>
    <w:rsid w:val="00422C98"/>
    <w:rsid w:val="00430DF0"/>
    <w:rsid w:val="004352B0"/>
    <w:rsid w:val="004361CD"/>
    <w:rsid w:val="00440215"/>
    <w:rsid w:val="004507A9"/>
    <w:rsid w:val="004550D4"/>
    <w:rsid w:val="00461FE0"/>
    <w:rsid w:val="00467BEE"/>
    <w:rsid w:val="00475BD3"/>
    <w:rsid w:val="0048202C"/>
    <w:rsid w:val="0048299F"/>
    <w:rsid w:val="0048742B"/>
    <w:rsid w:val="00493EB3"/>
    <w:rsid w:val="00494A04"/>
    <w:rsid w:val="004A428E"/>
    <w:rsid w:val="004A5F5B"/>
    <w:rsid w:val="004B2B45"/>
    <w:rsid w:val="004C100A"/>
    <w:rsid w:val="004D30CA"/>
    <w:rsid w:val="004D5A94"/>
    <w:rsid w:val="004F4B4F"/>
    <w:rsid w:val="004F55F8"/>
    <w:rsid w:val="005046F9"/>
    <w:rsid w:val="00505A62"/>
    <w:rsid w:val="005116DA"/>
    <w:rsid w:val="005124EA"/>
    <w:rsid w:val="00516120"/>
    <w:rsid w:val="005166B5"/>
    <w:rsid w:val="00520B51"/>
    <w:rsid w:val="0052125D"/>
    <w:rsid w:val="005261A6"/>
    <w:rsid w:val="005323F7"/>
    <w:rsid w:val="0053616F"/>
    <w:rsid w:val="00540A7F"/>
    <w:rsid w:val="0054207D"/>
    <w:rsid w:val="005527A1"/>
    <w:rsid w:val="0056782A"/>
    <w:rsid w:val="0057120B"/>
    <w:rsid w:val="00590CBA"/>
    <w:rsid w:val="005A4E0E"/>
    <w:rsid w:val="005A6186"/>
    <w:rsid w:val="005B2454"/>
    <w:rsid w:val="005C4829"/>
    <w:rsid w:val="005C4946"/>
    <w:rsid w:val="005D36C9"/>
    <w:rsid w:val="005E11EA"/>
    <w:rsid w:val="005E7ED4"/>
    <w:rsid w:val="005F08F6"/>
    <w:rsid w:val="005F76AB"/>
    <w:rsid w:val="006037C3"/>
    <w:rsid w:val="006069FA"/>
    <w:rsid w:val="006114F0"/>
    <w:rsid w:val="00613262"/>
    <w:rsid w:val="0063005B"/>
    <w:rsid w:val="00631678"/>
    <w:rsid w:val="00633E72"/>
    <w:rsid w:val="006373B4"/>
    <w:rsid w:val="00641519"/>
    <w:rsid w:val="00642035"/>
    <w:rsid w:val="00644539"/>
    <w:rsid w:val="00645BEF"/>
    <w:rsid w:val="006543C2"/>
    <w:rsid w:val="006568C2"/>
    <w:rsid w:val="006607CD"/>
    <w:rsid w:val="0066333D"/>
    <w:rsid w:val="006633E1"/>
    <w:rsid w:val="00665243"/>
    <w:rsid w:val="006674AC"/>
    <w:rsid w:val="00684B5C"/>
    <w:rsid w:val="00695EA1"/>
    <w:rsid w:val="00697788"/>
    <w:rsid w:val="00697A89"/>
    <w:rsid w:val="006A3FCB"/>
    <w:rsid w:val="006B4A47"/>
    <w:rsid w:val="006C6B59"/>
    <w:rsid w:val="006C77D8"/>
    <w:rsid w:val="006D4391"/>
    <w:rsid w:val="006D54DF"/>
    <w:rsid w:val="006D63C3"/>
    <w:rsid w:val="006E1A81"/>
    <w:rsid w:val="007030A5"/>
    <w:rsid w:val="0070474B"/>
    <w:rsid w:val="00713962"/>
    <w:rsid w:val="00723553"/>
    <w:rsid w:val="00746FCB"/>
    <w:rsid w:val="0075284B"/>
    <w:rsid w:val="007549E1"/>
    <w:rsid w:val="00760DE4"/>
    <w:rsid w:val="00762D26"/>
    <w:rsid w:val="00775F50"/>
    <w:rsid w:val="00780A67"/>
    <w:rsid w:val="00790B4D"/>
    <w:rsid w:val="00790CF5"/>
    <w:rsid w:val="0079496C"/>
    <w:rsid w:val="007A0D0F"/>
    <w:rsid w:val="007A26F6"/>
    <w:rsid w:val="007A7C50"/>
    <w:rsid w:val="007B0255"/>
    <w:rsid w:val="007B28B4"/>
    <w:rsid w:val="007C4373"/>
    <w:rsid w:val="007C7675"/>
    <w:rsid w:val="007C7C2D"/>
    <w:rsid w:val="007D01AA"/>
    <w:rsid w:val="007D3364"/>
    <w:rsid w:val="007D70E6"/>
    <w:rsid w:val="007D7EC4"/>
    <w:rsid w:val="00813401"/>
    <w:rsid w:val="00814785"/>
    <w:rsid w:val="00825699"/>
    <w:rsid w:val="00827A85"/>
    <w:rsid w:val="00846CD8"/>
    <w:rsid w:val="00852B23"/>
    <w:rsid w:val="00856B86"/>
    <w:rsid w:val="00861839"/>
    <w:rsid w:val="0086513D"/>
    <w:rsid w:val="00867A05"/>
    <w:rsid w:val="00872D7E"/>
    <w:rsid w:val="008819F1"/>
    <w:rsid w:val="008826CC"/>
    <w:rsid w:val="00887DBA"/>
    <w:rsid w:val="00890C2D"/>
    <w:rsid w:val="00894776"/>
    <w:rsid w:val="008978DE"/>
    <w:rsid w:val="008A535B"/>
    <w:rsid w:val="008B4C79"/>
    <w:rsid w:val="008C0018"/>
    <w:rsid w:val="008C3146"/>
    <w:rsid w:val="008C4286"/>
    <w:rsid w:val="008D3BEF"/>
    <w:rsid w:val="008E1C30"/>
    <w:rsid w:val="008E42E0"/>
    <w:rsid w:val="008F6F07"/>
    <w:rsid w:val="009018EC"/>
    <w:rsid w:val="00914992"/>
    <w:rsid w:val="00932772"/>
    <w:rsid w:val="00935FB3"/>
    <w:rsid w:val="00940BDC"/>
    <w:rsid w:val="009522CF"/>
    <w:rsid w:val="00963294"/>
    <w:rsid w:val="00966AC8"/>
    <w:rsid w:val="00966BBF"/>
    <w:rsid w:val="009755DD"/>
    <w:rsid w:val="00976BCD"/>
    <w:rsid w:val="0098004C"/>
    <w:rsid w:val="009868DE"/>
    <w:rsid w:val="00990A03"/>
    <w:rsid w:val="00992DC0"/>
    <w:rsid w:val="0099342B"/>
    <w:rsid w:val="009A021E"/>
    <w:rsid w:val="009A63A6"/>
    <w:rsid w:val="009B37E5"/>
    <w:rsid w:val="009C5E68"/>
    <w:rsid w:val="009D01BD"/>
    <w:rsid w:val="009D14BD"/>
    <w:rsid w:val="009D62D2"/>
    <w:rsid w:val="009E0488"/>
    <w:rsid w:val="009E1482"/>
    <w:rsid w:val="009E709B"/>
    <w:rsid w:val="009F2D52"/>
    <w:rsid w:val="009F3AC7"/>
    <w:rsid w:val="009F7341"/>
    <w:rsid w:val="009F75E2"/>
    <w:rsid w:val="00A002BE"/>
    <w:rsid w:val="00A008CF"/>
    <w:rsid w:val="00A008EC"/>
    <w:rsid w:val="00A24B8E"/>
    <w:rsid w:val="00A26CFB"/>
    <w:rsid w:val="00A41A55"/>
    <w:rsid w:val="00A6163C"/>
    <w:rsid w:val="00A62D1F"/>
    <w:rsid w:val="00A667CE"/>
    <w:rsid w:val="00A7539B"/>
    <w:rsid w:val="00A81C7B"/>
    <w:rsid w:val="00A907FB"/>
    <w:rsid w:val="00A926AB"/>
    <w:rsid w:val="00A960EA"/>
    <w:rsid w:val="00A966B5"/>
    <w:rsid w:val="00A97FAB"/>
    <w:rsid w:val="00AA1B64"/>
    <w:rsid w:val="00AA21C9"/>
    <w:rsid w:val="00AA6A11"/>
    <w:rsid w:val="00AB7D3A"/>
    <w:rsid w:val="00AD301A"/>
    <w:rsid w:val="00AD3C58"/>
    <w:rsid w:val="00AE62DE"/>
    <w:rsid w:val="00AE6870"/>
    <w:rsid w:val="00AF7B2A"/>
    <w:rsid w:val="00B023A6"/>
    <w:rsid w:val="00B0362E"/>
    <w:rsid w:val="00B1064A"/>
    <w:rsid w:val="00B14EE4"/>
    <w:rsid w:val="00B17CD5"/>
    <w:rsid w:val="00B4024F"/>
    <w:rsid w:val="00B408CB"/>
    <w:rsid w:val="00B40A5F"/>
    <w:rsid w:val="00B42D59"/>
    <w:rsid w:val="00B4798A"/>
    <w:rsid w:val="00B479E9"/>
    <w:rsid w:val="00B56564"/>
    <w:rsid w:val="00B65175"/>
    <w:rsid w:val="00B74A01"/>
    <w:rsid w:val="00B75753"/>
    <w:rsid w:val="00B75CB3"/>
    <w:rsid w:val="00B767C8"/>
    <w:rsid w:val="00B81BDF"/>
    <w:rsid w:val="00B86457"/>
    <w:rsid w:val="00B94F31"/>
    <w:rsid w:val="00B95F90"/>
    <w:rsid w:val="00B97E1D"/>
    <w:rsid w:val="00BA275F"/>
    <w:rsid w:val="00BA5422"/>
    <w:rsid w:val="00BA6FFE"/>
    <w:rsid w:val="00BB4677"/>
    <w:rsid w:val="00BC1E3D"/>
    <w:rsid w:val="00BC2194"/>
    <w:rsid w:val="00BC5800"/>
    <w:rsid w:val="00BD270E"/>
    <w:rsid w:val="00BE6377"/>
    <w:rsid w:val="00BF4026"/>
    <w:rsid w:val="00C00B29"/>
    <w:rsid w:val="00C01BD2"/>
    <w:rsid w:val="00C028EA"/>
    <w:rsid w:val="00C20872"/>
    <w:rsid w:val="00C21B0D"/>
    <w:rsid w:val="00C27A6F"/>
    <w:rsid w:val="00C42000"/>
    <w:rsid w:val="00C51501"/>
    <w:rsid w:val="00C56E76"/>
    <w:rsid w:val="00C6140A"/>
    <w:rsid w:val="00C65B15"/>
    <w:rsid w:val="00C9037A"/>
    <w:rsid w:val="00C92E24"/>
    <w:rsid w:val="00C92E87"/>
    <w:rsid w:val="00C965F0"/>
    <w:rsid w:val="00CA0432"/>
    <w:rsid w:val="00CA1DC0"/>
    <w:rsid w:val="00CB1736"/>
    <w:rsid w:val="00CC3756"/>
    <w:rsid w:val="00CE06E9"/>
    <w:rsid w:val="00CE68EB"/>
    <w:rsid w:val="00CF05DC"/>
    <w:rsid w:val="00CF34F9"/>
    <w:rsid w:val="00CF3F5B"/>
    <w:rsid w:val="00D0121E"/>
    <w:rsid w:val="00D041C6"/>
    <w:rsid w:val="00D07181"/>
    <w:rsid w:val="00D132F7"/>
    <w:rsid w:val="00D413E1"/>
    <w:rsid w:val="00D505CA"/>
    <w:rsid w:val="00D52330"/>
    <w:rsid w:val="00D546F5"/>
    <w:rsid w:val="00D75EE9"/>
    <w:rsid w:val="00D76A3C"/>
    <w:rsid w:val="00D81C79"/>
    <w:rsid w:val="00D83E76"/>
    <w:rsid w:val="00D8506F"/>
    <w:rsid w:val="00D85660"/>
    <w:rsid w:val="00D87A45"/>
    <w:rsid w:val="00DA6C91"/>
    <w:rsid w:val="00DB7317"/>
    <w:rsid w:val="00DC4277"/>
    <w:rsid w:val="00DC52FC"/>
    <w:rsid w:val="00DE63F6"/>
    <w:rsid w:val="00E00A1E"/>
    <w:rsid w:val="00E02A2C"/>
    <w:rsid w:val="00E03091"/>
    <w:rsid w:val="00E06AC1"/>
    <w:rsid w:val="00E10B19"/>
    <w:rsid w:val="00E207A1"/>
    <w:rsid w:val="00E31ABC"/>
    <w:rsid w:val="00E475A7"/>
    <w:rsid w:val="00E61E80"/>
    <w:rsid w:val="00E647A9"/>
    <w:rsid w:val="00E7593D"/>
    <w:rsid w:val="00E769AD"/>
    <w:rsid w:val="00E90063"/>
    <w:rsid w:val="00E9578A"/>
    <w:rsid w:val="00EC203F"/>
    <w:rsid w:val="00EC4BCF"/>
    <w:rsid w:val="00EC5ED9"/>
    <w:rsid w:val="00ED0E47"/>
    <w:rsid w:val="00ED4900"/>
    <w:rsid w:val="00EE2850"/>
    <w:rsid w:val="00EE4D1F"/>
    <w:rsid w:val="00EE5C9E"/>
    <w:rsid w:val="00EF729E"/>
    <w:rsid w:val="00F004F9"/>
    <w:rsid w:val="00F043D8"/>
    <w:rsid w:val="00F27B84"/>
    <w:rsid w:val="00F30147"/>
    <w:rsid w:val="00F30D68"/>
    <w:rsid w:val="00F477BD"/>
    <w:rsid w:val="00F50506"/>
    <w:rsid w:val="00F54F7A"/>
    <w:rsid w:val="00F57297"/>
    <w:rsid w:val="00F72B03"/>
    <w:rsid w:val="00F83E4A"/>
    <w:rsid w:val="00F93CCC"/>
    <w:rsid w:val="00FA5B71"/>
    <w:rsid w:val="00FA6207"/>
    <w:rsid w:val="00FB319D"/>
    <w:rsid w:val="00FB7570"/>
    <w:rsid w:val="00FB7A7F"/>
    <w:rsid w:val="00FC5668"/>
    <w:rsid w:val="00FD0911"/>
    <w:rsid w:val="00FD6510"/>
    <w:rsid w:val="00FE0368"/>
    <w:rsid w:val="00FE6338"/>
    <w:rsid w:val="00FF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5FB932"/>
  <w14:defaultImageDpi w14:val="0"/>
  <w15:docId w15:val="{311ABF2F-718B-49A7-B693-63F3FB878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270D20"/>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493131">
      <w:marLeft w:val="0"/>
      <w:marRight w:val="0"/>
      <w:marTop w:val="0"/>
      <w:marBottom w:val="0"/>
      <w:divBdr>
        <w:top w:val="none" w:sz="0" w:space="0" w:color="auto"/>
        <w:left w:val="none" w:sz="0" w:space="0" w:color="auto"/>
        <w:bottom w:val="none" w:sz="0" w:space="0" w:color="auto"/>
        <w:right w:val="none" w:sz="0" w:space="0" w:color="auto"/>
      </w:divBdr>
    </w:div>
    <w:div w:id="798493133">
      <w:marLeft w:val="0"/>
      <w:marRight w:val="0"/>
      <w:marTop w:val="0"/>
      <w:marBottom w:val="0"/>
      <w:divBdr>
        <w:top w:val="none" w:sz="0" w:space="0" w:color="auto"/>
        <w:left w:val="none" w:sz="0" w:space="0" w:color="auto"/>
        <w:bottom w:val="none" w:sz="0" w:space="0" w:color="auto"/>
        <w:right w:val="none" w:sz="0" w:space="0" w:color="auto"/>
      </w:divBdr>
      <w:divsChild>
        <w:div w:id="798493132">
          <w:marLeft w:val="0"/>
          <w:marRight w:val="0"/>
          <w:marTop w:val="0"/>
          <w:marBottom w:val="0"/>
          <w:divBdr>
            <w:top w:val="none" w:sz="0" w:space="0" w:color="auto"/>
            <w:left w:val="none" w:sz="0" w:space="0" w:color="auto"/>
            <w:bottom w:val="none" w:sz="0" w:space="0" w:color="auto"/>
            <w:right w:val="none" w:sz="0" w:space="0" w:color="auto"/>
          </w:divBdr>
        </w:div>
        <w:div w:id="798493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uropas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sc.gov.lv/profizglitiba/stand_saraksts_mk_not_626.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europas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1AA1B-E8D2-4701-A3F4-0CEACE1F5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5852</Words>
  <Characters>3337</Characters>
  <Application>Microsoft Office Word</Application>
  <DocSecurity>0</DocSecurity>
  <Lines>27</Lines>
  <Paragraphs>18</Paragraphs>
  <ScaleCrop>false</ScaleCrop>
  <Company>Cedefop</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3</cp:revision>
  <cp:lastPrinted>2003-10-16T15:04:00Z</cp:lastPrinted>
  <dcterms:created xsi:type="dcterms:W3CDTF">2023-12-20T10:32:00Z</dcterms:created>
  <dcterms:modified xsi:type="dcterms:W3CDTF">2025-01-24T11:51:00Z</dcterms:modified>
</cp:coreProperties>
</file>