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296858A2" w14:textId="77777777" w:rsidTr="00261DEE">
        <w:trPr>
          <w:cantSplit/>
          <w:trHeight w:val="851"/>
        </w:trPr>
        <w:tc>
          <w:tcPr>
            <w:tcW w:w="2203" w:type="dxa"/>
          </w:tcPr>
          <w:p w14:paraId="22B2E6BC" w14:textId="77777777" w:rsidR="008978DE" w:rsidRPr="00493EB3" w:rsidRDefault="00B47C87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5CD93ED" wp14:editId="1AB0CC2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444A884C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A5BA8D1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1F2E82" w:rsidRPr="00493EB3">
              <w:rPr>
                <w:noProof/>
                <w:lang w:val="en-US" w:eastAsia="en-US"/>
              </w:rPr>
              <w:drawing>
                <wp:inline distT="0" distB="0" distL="0" distR="0" wp14:anchorId="0B93F073" wp14:editId="457C12D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31CF853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96F47D8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6407900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6407900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741114972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41114972"/>
    </w:p>
    <w:p w14:paraId="2D23EC15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7393ECB" w14:textId="77777777" w:rsidTr="00872D7E">
        <w:tc>
          <w:tcPr>
            <w:tcW w:w="10207" w:type="dxa"/>
            <w:shd w:val="clear" w:color="auto" w:fill="D9D9D9"/>
          </w:tcPr>
          <w:p w14:paraId="5624A77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07092548" w:edGrp="everyone"/>
      <w:tr w:rsidR="008978DE" w:rsidRPr="00493EB3" w14:paraId="77F1DB13" w14:textId="77777777" w:rsidTr="005046F9">
        <w:trPr>
          <w:cantSplit/>
          <w:trHeight w:val="946"/>
        </w:trPr>
        <w:tc>
          <w:tcPr>
            <w:tcW w:w="10207" w:type="dxa"/>
          </w:tcPr>
          <w:p w14:paraId="4A2AE549" w14:textId="77777777" w:rsidR="00BA275F" w:rsidRPr="00493EB3" w:rsidRDefault="004E3A98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211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07092548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10678506" w:edGrp="everyone"/>
          <w:p w14:paraId="6AAAFECE" w14:textId="77777777" w:rsidR="008978DE" w:rsidRPr="00493EB3" w:rsidRDefault="004E3A98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63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067850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CFE0425" w14:textId="2CDE1361" w:rsidR="000751C3" w:rsidRPr="00AF7B2A" w:rsidRDefault="0079496C" w:rsidP="00A24B8E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380D6D" w:rsidRPr="00380D6D">
              <w:rPr>
                <w:b/>
                <w:bCs/>
                <w:sz w:val="28"/>
                <w:szCs w:val="28"/>
                <w:lang w:val="lv-LV"/>
              </w:rPr>
              <w:t>Iespieddarbu apstrādes speciālists</w:t>
            </w:r>
            <w:r w:rsidR="00357630" w:rsidRPr="00380D6D">
              <w:rPr>
                <w:sz w:val="36"/>
                <w:szCs w:val="28"/>
                <w:lang w:val="lv-LV"/>
              </w:rPr>
              <w:t xml:space="preserve"> </w:t>
            </w:r>
          </w:p>
        </w:tc>
      </w:tr>
      <w:tr w:rsidR="008978DE" w:rsidRPr="00493EB3" w14:paraId="6B743BEE" w14:textId="77777777" w:rsidTr="00B023A6">
        <w:trPr>
          <w:cantSplit/>
          <w:trHeight w:val="220"/>
        </w:trPr>
        <w:tc>
          <w:tcPr>
            <w:tcW w:w="10207" w:type="dxa"/>
          </w:tcPr>
          <w:p w14:paraId="146E6DB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52BFE9D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AF7A290" w14:textId="77777777" w:rsidTr="00872D7E">
        <w:tc>
          <w:tcPr>
            <w:tcW w:w="10207" w:type="dxa"/>
            <w:shd w:val="clear" w:color="auto" w:fill="D9D9D9"/>
          </w:tcPr>
          <w:p w14:paraId="63D3AF4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95119141" w:edGrp="everyone"/>
      <w:tr w:rsidR="008978DE" w:rsidRPr="00493EB3" w14:paraId="2FD737E7" w14:textId="77777777" w:rsidTr="000A654D">
        <w:trPr>
          <w:trHeight w:val="1032"/>
        </w:trPr>
        <w:tc>
          <w:tcPr>
            <w:tcW w:w="10207" w:type="dxa"/>
          </w:tcPr>
          <w:p w14:paraId="19244681" w14:textId="77777777" w:rsidR="00BA275F" w:rsidRPr="00493EB3" w:rsidRDefault="004E3A98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607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95119141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004535952" w:edGrp="everyone"/>
          <w:p w14:paraId="1FB194B0" w14:textId="77777777" w:rsidR="00D07181" w:rsidRPr="00493EB3" w:rsidRDefault="004E3A98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327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453595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AA1E4E6" w14:textId="77777777" w:rsidR="00E90063" w:rsidRPr="00493EB3" w:rsidRDefault="00E90063" w:rsidP="009868DE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  <w:r w:rsidR="0048742B" w:rsidRPr="0048742B">
              <w:rPr>
                <w:b/>
                <w:sz w:val="28"/>
                <w:szCs w:val="28"/>
              </w:rPr>
              <w:t>Printed Work Processing Specialist</w:t>
            </w:r>
            <w:r w:rsidR="009868DE" w:rsidRPr="009868DE">
              <w:rPr>
                <w:sz w:val="28"/>
                <w:szCs w:val="28"/>
                <w:vertAlign w:val="superscript"/>
              </w:rPr>
              <w:t>*</w:t>
            </w:r>
            <w:r w:rsidR="009868D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01AD64EA" w14:textId="77777777" w:rsidTr="00B023A6">
        <w:trPr>
          <w:trHeight w:val="213"/>
        </w:trPr>
        <w:tc>
          <w:tcPr>
            <w:tcW w:w="10207" w:type="dxa"/>
          </w:tcPr>
          <w:p w14:paraId="6E886591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4051496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B1EE6FE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1F3A573" w14:textId="77777777"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17B98E98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B90A3A5" w14:textId="607D4E69" w:rsidR="00D83E76" w:rsidRPr="0048742B" w:rsidRDefault="0048742B" w:rsidP="001C0449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48742B">
              <w:rPr>
                <w:lang w:val="lv-LV"/>
              </w:rPr>
              <w:t>espieddarbu apstrādes speciālists poligrāfijas ražošanas tehnologa vadībā veic iespieddarbu apstrādi un iesiešanu, izmantojot automātiskās apstrādes iekārtas, plūsmas līnijas, aprīkojumu, instrumentus</w:t>
            </w:r>
            <w:r>
              <w:rPr>
                <w:lang w:val="lv-LV"/>
              </w:rPr>
              <w:t>.</w:t>
            </w:r>
          </w:p>
          <w:p w14:paraId="6AD6EF5C" w14:textId="77777777" w:rsidR="00155B7F" w:rsidRPr="00AF7B2A" w:rsidRDefault="00790CF5" w:rsidP="001C0449">
            <w:pPr>
              <w:spacing w:before="120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2A9882B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color w:val="000000"/>
                <w:lang w:val="lv-LV"/>
              </w:rPr>
              <w:t xml:space="preserve">3.1. </w:t>
            </w:r>
            <w:r w:rsidRPr="0048742B">
              <w:rPr>
                <w:lang w:val="lv-LV"/>
              </w:rPr>
              <w:t xml:space="preserve">Iepazīšanās ar darba uzdevumu un tehnisko dokumentāciju: </w:t>
            </w:r>
          </w:p>
          <w:p w14:paraId="4CD9BB41" w14:textId="797B5AC5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iepazīties ar tehnoloģisko karti, darba maketu un citu tehnisko dokumentāciju; </w:t>
            </w:r>
          </w:p>
          <w:p w14:paraId="57F17A17" w14:textId="62F6CEB1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izvērtēt tehniskās dokumentācijas atbilstību darba uzdevumam; </w:t>
            </w:r>
          </w:p>
          <w:p w14:paraId="65E59726" w14:textId="32D3F690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>nepieciešamības gadījumā izteikt priekšlikumus par tehniskās dokumentācijas korekciju.</w:t>
            </w:r>
            <w:r>
              <w:rPr>
                <w:lang w:val="lv-LV"/>
              </w:rPr>
              <w:t xml:space="preserve"> </w:t>
            </w:r>
          </w:p>
          <w:p w14:paraId="33E481FE" w14:textId="0D6F93DA" w:rsidR="0048742B" w:rsidRPr="0048742B" w:rsidRDefault="0048742B" w:rsidP="001C0449">
            <w:pPr>
              <w:rPr>
                <w:lang w:val="lv-LV"/>
              </w:rPr>
            </w:pPr>
          </w:p>
          <w:p w14:paraId="605BCA68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3.2. Materiālu sagatavošana darbam: </w:t>
            </w:r>
          </w:p>
          <w:p w14:paraId="3C70EF84" w14:textId="08A6CBC8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pārbaudīt materiālu un iespiedlokšņu kvalitātes atbilstību darba uzdevumam; </w:t>
            </w:r>
          </w:p>
          <w:p w14:paraId="53A17ED5" w14:textId="01E4667E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sagatavot darbam nepieciešamos materiālus tirāžai nepieciešamajā daudzumā un izmēros; </w:t>
            </w:r>
          </w:p>
          <w:p w14:paraId="758B9016" w14:textId="05D344C9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pārbaudīt pirmā eksemplāra atbilstību tehnoloģiskajai kartei un maketam. </w:t>
            </w:r>
          </w:p>
          <w:p w14:paraId="06238C9D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</w:p>
          <w:p w14:paraId="1CD616D0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3.3. Apstrādes iekārtu un aprīkojuma sagatavošana darbam: </w:t>
            </w:r>
          </w:p>
          <w:p w14:paraId="1C61984B" w14:textId="15029795" w:rsidR="0048742B" w:rsidRPr="0048742B" w:rsidRDefault="001C0449" w:rsidP="001C0449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novērtēt automātisko poligrāfijas apstrādes iekārtu, plūsmas līniju, aprīkojuma un instrumentu atbilstību ekspluatācijas prasībām; </w:t>
            </w:r>
          </w:p>
          <w:p w14:paraId="671C44F8" w14:textId="1F7DEA53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sagatavot automātiskās poligrāfijas apstrādes iekārtas, plūsmas līnijas, aprīkojumu un instrumentus darbam; </w:t>
            </w:r>
          </w:p>
          <w:p w14:paraId="428EC220" w14:textId="3C9338A9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veikt automātisko poligrāfijas apstrādes iekārtu, plūsmas līniju, aprīkojuma un instrumentu ikdienas apkopi. </w:t>
            </w:r>
          </w:p>
          <w:p w14:paraId="79BA0BE8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</w:p>
          <w:p w14:paraId="7167ABA7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3.4. Iespieddarba sagatavošana apstrādei: </w:t>
            </w:r>
          </w:p>
          <w:p w14:paraId="313126EC" w14:textId="76F1824F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novērtēt iespiedprodukcijas kvalitāti; </w:t>
            </w:r>
          </w:p>
          <w:p w14:paraId="45AEEBF3" w14:textId="2A210584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sagatavot iespiedprodukciju tālākai apstrādei; </w:t>
            </w:r>
          </w:p>
          <w:p w14:paraId="629E964D" w14:textId="4FDD5352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novērtēt iespieddarba pirmsapstrādes kvalitāti. </w:t>
            </w:r>
          </w:p>
          <w:p w14:paraId="78F8FDAF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</w:p>
          <w:p w14:paraId="03290A21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3.5. Iespieddarbu apstrāde: </w:t>
            </w:r>
          </w:p>
          <w:p w14:paraId="587648A9" w14:textId="78D25DBB" w:rsidR="0048742B" w:rsidRPr="0048742B" w:rsidRDefault="001C0449" w:rsidP="001C0449">
            <w:pPr>
              <w:tabs>
                <w:tab w:val="left" w:pos="176"/>
              </w:tabs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veikt iespiedloksnes virsmas apdares darbus; </w:t>
            </w:r>
          </w:p>
          <w:p w14:paraId="4CCE6FD6" w14:textId="3962D32F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</w:t>
            </w:r>
            <w:r w:rsidR="0048742B" w:rsidRPr="0048742B">
              <w:rPr>
                <w:lang w:val="lv-LV"/>
              </w:rPr>
              <w:t xml:space="preserve">komplektēt burtnīcas; </w:t>
            </w:r>
          </w:p>
          <w:p w14:paraId="26A53990" w14:textId="1F4C7C7B" w:rsidR="0048742B" w:rsidRPr="0048742B" w:rsidRDefault="001C0449" w:rsidP="001C0449">
            <w:pPr>
              <w:tabs>
                <w:tab w:val="left" w:pos="806"/>
              </w:tabs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piestiprināt blokam papildelementus; </w:t>
            </w:r>
          </w:p>
          <w:p w14:paraId="2B9E1478" w14:textId="54503C52" w:rsidR="0048742B" w:rsidRPr="0048742B" w:rsidRDefault="001C0449" w:rsidP="001C0449">
            <w:pPr>
              <w:tabs>
                <w:tab w:val="left" w:pos="806"/>
              </w:tabs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sastiprināt burtnīcas blokā un veikt bloka apdari; </w:t>
            </w:r>
          </w:p>
          <w:p w14:paraId="6A83FA2F" w14:textId="2526F420" w:rsidR="0048742B" w:rsidRPr="0048742B" w:rsidRDefault="001C0449" w:rsidP="001C0449">
            <w:pPr>
              <w:tabs>
                <w:tab w:val="left" w:pos="806"/>
              </w:tabs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novērtēt izgatavotā pusfabrikāta kvalitāti. </w:t>
            </w:r>
          </w:p>
          <w:p w14:paraId="6421DEEC" w14:textId="77777777" w:rsidR="0048742B" w:rsidRPr="0048742B" w:rsidRDefault="0048742B" w:rsidP="00726474">
            <w:pPr>
              <w:tabs>
                <w:tab w:val="left" w:pos="806"/>
              </w:tabs>
              <w:ind w:left="-37" w:firstLine="1260"/>
              <w:rPr>
                <w:lang w:val="lv-LV"/>
              </w:rPr>
            </w:pPr>
          </w:p>
          <w:p w14:paraId="0271FBA0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3.6. Poligrāfijas produkcijas vāku izgatavošana: </w:t>
            </w:r>
          </w:p>
          <w:p w14:paraId="69CECE36" w14:textId="62703D66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noteikt papīra un citu poligrāfijas materiālu šķiedras virzienu; </w:t>
            </w:r>
          </w:p>
          <w:p w14:paraId="3DC9EA73" w14:textId="06F060BA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sagatavot tirāžai nepieciešamos materiālus; </w:t>
            </w:r>
          </w:p>
          <w:p w14:paraId="06341FCA" w14:textId="4EBB7DE9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izgatavot sējuma vākus; </w:t>
            </w:r>
          </w:p>
          <w:p w14:paraId="18B42BFA" w14:textId="09DA3248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veikt sējuma vāku apdari; </w:t>
            </w:r>
          </w:p>
          <w:p w14:paraId="5307D403" w14:textId="12C7B772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ievākot bloku; </w:t>
            </w:r>
          </w:p>
          <w:p w14:paraId="6E5D47C9" w14:textId="12D5483D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novērtēt izgatavotās produkcijas kvalitāti: </w:t>
            </w:r>
          </w:p>
          <w:p w14:paraId="0B97DBEA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</w:p>
          <w:p w14:paraId="5BDC5714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3.7. Poligrāfijas produkcijas papildapstrāde un uzskaite: </w:t>
            </w:r>
          </w:p>
          <w:p w14:paraId="2F058783" w14:textId="1B410C00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aplikt produkcijai apvāku; </w:t>
            </w:r>
          </w:p>
          <w:p w14:paraId="022C7FFD" w14:textId="29762C8D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ieplēvot izgatavoto produkciju; </w:t>
            </w:r>
          </w:p>
          <w:p w14:paraId="0036C6C2" w14:textId="3597DAD1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ievietot izgatavoto produkciju papildu iesaiņojumā; </w:t>
            </w:r>
          </w:p>
          <w:p w14:paraId="5073BCA5" w14:textId="5ACA67A8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iesaiņot izgatavoto produkciju; </w:t>
            </w:r>
          </w:p>
          <w:p w14:paraId="0318F150" w14:textId="1DB2433E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līmēt un locīt iespieddarba izcirstās sagataves; </w:t>
            </w:r>
          </w:p>
          <w:p w14:paraId="6EEE3871" w14:textId="21F77279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veikt darba uzskaiti un dokumentēšanu. </w:t>
            </w:r>
          </w:p>
          <w:p w14:paraId="43F8319A" w14:textId="77777777" w:rsidR="0048742B" w:rsidRPr="0048742B" w:rsidRDefault="0048742B" w:rsidP="0048742B">
            <w:pPr>
              <w:ind w:left="-709" w:firstLine="709"/>
              <w:rPr>
                <w:lang w:val="lv-LV"/>
              </w:rPr>
            </w:pPr>
          </w:p>
          <w:p w14:paraId="2393B6BE" w14:textId="118106EC" w:rsidR="0048742B" w:rsidRPr="0048742B" w:rsidRDefault="0048742B" w:rsidP="0048742B">
            <w:pPr>
              <w:ind w:left="-709" w:firstLine="709"/>
              <w:rPr>
                <w:lang w:val="lv-LV"/>
              </w:rPr>
            </w:pPr>
            <w:r w:rsidRPr="0048742B">
              <w:rPr>
                <w:lang w:val="lv-LV"/>
              </w:rPr>
              <w:t xml:space="preserve">3.8. Darba un vides aizsardzības prasību ievērošana: </w:t>
            </w:r>
          </w:p>
          <w:p w14:paraId="74D649AC" w14:textId="2CEF48A7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ievērot darba aizsardzības prasības; </w:t>
            </w:r>
          </w:p>
          <w:p w14:paraId="5BD54398" w14:textId="72C2E716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ievērot elektrodrošības un ugunsdrošības noteikumus; </w:t>
            </w:r>
          </w:p>
          <w:p w14:paraId="1F8EFEA7" w14:textId="3A282E94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pārliecināties par iekārtu, aprīkojuma un instrumentu atbilstību ekspluatācijas prasībām; </w:t>
            </w:r>
          </w:p>
          <w:p w14:paraId="4BCC1DBD" w14:textId="328FB9B6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ievērot darba vietai, aprīkojumam un instrumentiem noteiktās ekspluatācijas prasības; </w:t>
            </w:r>
          </w:p>
          <w:p w14:paraId="709DCA07" w14:textId="4ED43BB4" w:rsidR="0048742B" w:rsidRPr="0048742B" w:rsidRDefault="001C0449" w:rsidP="001C0449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 xml:space="preserve">lietot drošus darba paņēmienus; </w:t>
            </w:r>
          </w:p>
          <w:p w14:paraId="705C5DBC" w14:textId="3F035842" w:rsidR="0048742B" w:rsidRPr="0048742B" w:rsidRDefault="001C0449" w:rsidP="001C0449">
            <w:pPr>
              <w:ind w:firstLine="620"/>
              <w:rPr>
                <w:color w:val="000000"/>
                <w:u w:val="single"/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48742B" w:rsidRPr="0048742B">
              <w:rPr>
                <w:lang w:val="lv-LV"/>
              </w:rPr>
              <w:t>ievērot vides aizsardzības prasības.</w:t>
            </w:r>
          </w:p>
          <w:p w14:paraId="2284E46B" w14:textId="77777777" w:rsidR="001D0555" w:rsidRPr="0048742B" w:rsidRDefault="001D0555" w:rsidP="009868DE">
            <w:pPr>
              <w:jc w:val="both"/>
            </w:pPr>
          </w:p>
          <w:p w14:paraId="5F3B9EBB" w14:textId="77777777" w:rsidR="00E03091" w:rsidRPr="004D1D5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310143416" w:edGrp="everyone"/>
            <w:r w:rsidRPr="004D1D5A">
              <w:rPr>
                <w:color w:val="000000"/>
                <w:lang w:val="lv-LV"/>
              </w:rPr>
              <w:t>Papildu kompetences:</w:t>
            </w:r>
          </w:p>
          <w:p w14:paraId="0D455F2D" w14:textId="7E5DBD15" w:rsidR="00E03091" w:rsidRPr="00AF7B2A" w:rsidRDefault="001C0449" w:rsidP="001C0449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96102C3" w14:textId="6D2BB80D" w:rsidR="00E03091" w:rsidRPr="00AF7B2A" w:rsidRDefault="001C0449" w:rsidP="001C0449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̶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59B3BC45" w14:textId="4140BA71" w:rsidR="00E03091" w:rsidRPr="00AF7B2A" w:rsidRDefault="001C0449" w:rsidP="001C0449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̶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5F4A7D34" w14:textId="28C8D5C2" w:rsidR="00E03091" w:rsidRPr="00AF7B2A" w:rsidRDefault="001C0449" w:rsidP="001C0449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</w:t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1310143416"/>
          <w:p w14:paraId="47B22170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44A02CF1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26474" w14:paraId="3855036A" w14:textId="77777777" w:rsidTr="002E235A">
        <w:tc>
          <w:tcPr>
            <w:tcW w:w="10207" w:type="dxa"/>
            <w:shd w:val="clear" w:color="auto" w:fill="D9D9D9"/>
          </w:tcPr>
          <w:p w14:paraId="4FE8FD94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726474" w14:paraId="6FD6B820" w14:textId="77777777" w:rsidTr="003D5200">
        <w:trPr>
          <w:trHeight w:val="185"/>
        </w:trPr>
        <w:tc>
          <w:tcPr>
            <w:tcW w:w="10207" w:type="dxa"/>
          </w:tcPr>
          <w:p w14:paraId="3070BB85" w14:textId="77777777" w:rsidR="00E10B19" w:rsidRPr="0040725B" w:rsidRDefault="0048742B" w:rsidP="0048742B">
            <w:pPr>
              <w:pStyle w:val="Sarakstarindkopa"/>
              <w:spacing w:after="0" w:line="240" w:lineRule="auto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42B">
              <w:rPr>
                <w:rFonts w:ascii="Times New Roman" w:hAnsi="Times New Roman"/>
                <w:sz w:val="20"/>
                <w:szCs w:val="20"/>
              </w:rPr>
              <w:t>Strādāt uzņēmumos, kas izgatavo iespiedprodukciju, vai strādāt individuāli kā pašnodarbinātā persona vai individuālais komersants.</w:t>
            </w:r>
          </w:p>
        </w:tc>
      </w:tr>
      <w:tr w:rsidR="00E03091" w:rsidRPr="00493EB3" w14:paraId="330E43EF" w14:textId="77777777" w:rsidTr="002E235A">
        <w:trPr>
          <w:trHeight w:val="274"/>
        </w:trPr>
        <w:tc>
          <w:tcPr>
            <w:tcW w:w="10207" w:type="dxa"/>
          </w:tcPr>
          <w:p w14:paraId="1B62A986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55101E3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6B529B0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FC2480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26474" w14:paraId="2B54FFF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B120487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D4496AB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5935C91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6ECFC33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7314597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07314597"/>
          </w:p>
        </w:tc>
        <w:tc>
          <w:tcPr>
            <w:tcW w:w="5103" w:type="dxa"/>
          </w:tcPr>
          <w:p w14:paraId="7C941D52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726474" w14:paraId="644CC54D" w14:textId="77777777" w:rsidTr="003C241F">
        <w:trPr>
          <w:trHeight w:val="303"/>
        </w:trPr>
        <w:tc>
          <w:tcPr>
            <w:tcW w:w="5104" w:type="dxa"/>
          </w:tcPr>
          <w:p w14:paraId="7F70BD16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313029C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B57D9D7" w14:textId="77777777"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B2E7BAA" w14:textId="77777777" w:rsidTr="00A41A55">
        <w:trPr>
          <w:trHeight w:val="575"/>
        </w:trPr>
        <w:tc>
          <w:tcPr>
            <w:tcW w:w="5104" w:type="dxa"/>
          </w:tcPr>
          <w:p w14:paraId="7039FDA7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BC4D1F8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48B82349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6751D2FC" w14:textId="77777777" w:rsidTr="00BD270E">
        <w:trPr>
          <w:trHeight w:val="53"/>
        </w:trPr>
        <w:tc>
          <w:tcPr>
            <w:tcW w:w="5104" w:type="dxa"/>
          </w:tcPr>
          <w:p w14:paraId="214B01ED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5959A6B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571B5E7D" w14:textId="77777777" w:rsidTr="00A41A55">
        <w:trPr>
          <w:trHeight w:val="328"/>
        </w:trPr>
        <w:tc>
          <w:tcPr>
            <w:tcW w:w="5104" w:type="dxa"/>
          </w:tcPr>
          <w:p w14:paraId="4917FEC3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38956A4A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9803657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493EB3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498036577"/>
          </w:p>
        </w:tc>
      </w:tr>
      <w:tr w:rsidR="008978DE" w:rsidRPr="00493EB3" w14:paraId="64D786A6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004D7CC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14:paraId="56E2411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B556A78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40E87589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4A8F4C5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0F1E29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95576156" w:edGrp="everyone"/>
      <w:tr w:rsidR="00256EA9" w:rsidRPr="00726474" w14:paraId="4CB5E847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670A55B" w14:textId="77777777" w:rsidR="00256EA9" w:rsidRPr="00D83E76" w:rsidRDefault="004E3A98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41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557615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48576500" w:edGrp="everyone"/>
          <w:p w14:paraId="5A8488A5" w14:textId="77777777" w:rsidR="00256EA9" w:rsidRPr="00493EB3" w:rsidRDefault="004E3A98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114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48576500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634721662" w:edGrp="everyone"/>
          <w:p w14:paraId="297B140F" w14:textId="77777777" w:rsidR="00256EA9" w:rsidRPr="00493EB3" w:rsidRDefault="004E3A9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421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34721662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966921764" w:edGrp="everyone"/>
          <w:p w14:paraId="71BD4F6C" w14:textId="77777777" w:rsidR="00256EA9" w:rsidRPr="00493EB3" w:rsidRDefault="004E3A9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091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7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66921764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05396395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CE97C" w14:textId="77777777" w:rsidR="00256EA9" w:rsidRPr="00493EB3" w:rsidRDefault="004E3A98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686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5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396395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27341F24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9CC867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EC104BE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FD091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93594961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35949617"/>
          <w:p w14:paraId="1DDFA11A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973A2C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6081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FBA" w14:textId="77777777"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09227" w14:textId="77777777"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2E6B136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B5FD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564B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7762976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0776297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F45B9A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3509002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935090025"/>
          </w:p>
        </w:tc>
      </w:tr>
      <w:tr w:rsidR="00966AC8" w:rsidRPr="00493EB3" w14:paraId="1CFCB92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95B5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80368A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3770800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BB93AA6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03770800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C0BEF6F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458582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0ED5C5A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94585822"/>
          </w:p>
        </w:tc>
      </w:tr>
      <w:tr w:rsidR="00966AC8" w:rsidRPr="00493EB3" w14:paraId="2A5AE92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8839C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D091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CBDBB1C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5BFE6EF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2E0B166C" w14:textId="77777777" w:rsidR="00966AC8" w:rsidRPr="00493EB3" w:rsidRDefault="004E3A98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7A67FE87" w14:textId="77777777" w:rsidR="00966AC8" w:rsidRDefault="004E3A98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29C8452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498CFA42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0697FDC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7CAF228E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F6EA" w14:textId="77777777" w:rsidR="004E3A98" w:rsidRDefault="004E3A98">
      <w:r>
        <w:separator/>
      </w:r>
    </w:p>
  </w:endnote>
  <w:endnote w:type="continuationSeparator" w:id="0">
    <w:p w14:paraId="11E3B786" w14:textId="77777777" w:rsidR="004E3A98" w:rsidRDefault="004E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E014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E76">
      <w:rPr>
        <w:noProof/>
      </w:rPr>
      <w:t>3</w:t>
    </w:r>
    <w:r>
      <w:rPr>
        <w:noProof/>
      </w:rPr>
      <w:fldChar w:fldCharType="end"/>
    </w:r>
  </w:p>
  <w:p w14:paraId="34F73E5A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466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FBD5F52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EFEAE92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6B7BF273" w14:textId="77777777" w:rsidR="009868DE" w:rsidRDefault="009868DE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0D1116B3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A5EE" w14:textId="77777777" w:rsidR="004E3A98" w:rsidRDefault="004E3A98">
      <w:r>
        <w:separator/>
      </w:r>
    </w:p>
  </w:footnote>
  <w:footnote w:type="continuationSeparator" w:id="0">
    <w:p w14:paraId="4221D441" w14:textId="77777777" w:rsidR="004E3A98" w:rsidRDefault="004E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87F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8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0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6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0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2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3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5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7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0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1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26"/>
  </w:num>
  <w:num w:numId="5">
    <w:abstractNumId w:val="19"/>
  </w:num>
  <w:num w:numId="6">
    <w:abstractNumId w:val="9"/>
  </w:num>
  <w:num w:numId="7">
    <w:abstractNumId w:val="24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27"/>
  </w:num>
  <w:num w:numId="14">
    <w:abstractNumId w:val="10"/>
  </w:num>
  <w:num w:numId="15">
    <w:abstractNumId w:val="22"/>
  </w:num>
  <w:num w:numId="16">
    <w:abstractNumId w:val="16"/>
  </w:num>
  <w:num w:numId="17">
    <w:abstractNumId w:val="13"/>
  </w:num>
  <w:num w:numId="18">
    <w:abstractNumId w:val="2"/>
  </w:num>
  <w:num w:numId="19">
    <w:abstractNumId w:val="18"/>
  </w:num>
  <w:num w:numId="20">
    <w:abstractNumId w:val="23"/>
  </w:num>
  <w:num w:numId="21">
    <w:abstractNumId w:val="6"/>
  </w:num>
  <w:num w:numId="22">
    <w:abstractNumId w:val="8"/>
  </w:num>
  <w:num w:numId="23">
    <w:abstractNumId w:val="5"/>
  </w:num>
  <w:num w:numId="24">
    <w:abstractNumId w:val="25"/>
  </w:num>
  <w:num w:numId="25">
    <w:abstractNumId w:val="11"/>
  </w:num>
  <w:num w:numId="26">
    <w:abstractNumId w:val="0"/>
  </w:num>
  <w:num w:numId="27">
    <w:abstractNumId w:val="15"/>
  </w:num>
  <w:num w:numId="28">
    <w:abstractNumId w:val="31"/>
  </w:num>
  <w:num w:numId="29">
    <w:abstractNumId w:val="21"/>
  </w:num>
  <w:num w:numId="30">
    <w:abstractNumId w:val="17"/>
  </w:num>
  <w:num w:numId="31">
    <w:abstractNumId w:val="20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472OyewhiVuYt8FZ1+wRcuWJJGl+c4xdownwJpV/9L90UZjAzp/4Tuydx9GyfGSYkRYR1QNQQBCw4zJyK0Rpw==" w:salt="EBc/bEsYOcabU/lW/HHo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0449"/>
    <w:rsid w:val="001C3138"/>
    <w:rsid w:val="001D0555"/>
    <w:rsid w:val="001D1356"/>
    <w:rsid w:val="001D4357"/>
    <w:rsid w:val="001E6D06"/>
    <w:rsid w:val="001F0013"/>
    <w:rsid w:val="001F1C9D"/>
    <w:rsid w:val="001F2A29"/>
    <w:rsid w:val="001F2E82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0D6D"/>
    <w:rsid w:val="00382158"/>
    <w:rsid w:val="003956A6"/>
    <w:rsid w:val="003A380D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0C5C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C100A"/>
    <w:rsid w:val="004D1D5A"/>
    <w:rsid w:val="004D30CA"/>
    <w:rsid w:val="004D5A94"/>
    <w:rsid w:val="004E3A98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57FE5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26474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BEF"/>
    <w:rsid w:val="008F6F07"/>
    <w:rsid w:val="009018EC"/>
    <w:rsid w:val="00932772"/>
    <w:rsid w:val="00935FB3"/>
    <w:rsid w:val="00944C4F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2F4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47C87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BF7CD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80C06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5660"/>
    <w:rsid w:val="00D87A45"/>
    <w:rsid w:val="00DA6C91"/>
    <w:rsid w:val="00DA6FE4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32AD0"/>
    <w:rsid w:val="00E475A7"/>
    <w:rsid w:val="00E647A9"/>
    <w:rsid w:val="00E7593D"/>
    <w:rsid w:val="00E81E76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CFE8B"/>
  <w15:chartTrackingRefBased/>
  <w15:docId w15:val="{438ED4B5-7A93-449D-9825-98CB2EDC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77DE-9DC8-4A2F-B597-589ACFD7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5726</Characters>
  <Application>Microsoft Office Word</Application>
  <DocSecurity>8</DocSecurity>
  <Lines>47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6717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4</cp:revision>
  <cp:lastPrinted>2003-10-16T15:04:00Z</cp:lastPrinted>
  <dcterms:created xsi:type="dcterms:W3CDTF">2021-01-18T07:39:00Z</dcterms:created>
  <dcterms:modified xsi:type="dcterms:W3CDTF">2021-01-18T07:49:00Z</dcterms:modified>
</cp:coreProperties>
</file>