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CE7F12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CE7F12" w:rsidRPr="00493EB3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16555373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16555373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606943689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606943689"/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123D2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12923174" w:edGrp="everyone"/>
      <w:tr w:rsidR="008978DE" w:rsidRPr="0076724A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4519E9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33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1292317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402412722" w:edGrp="everyone"/>
          <w:p w:rsidR="008978DE" w:rsidRPr="00493EB3" w:rsidRDefault="004519E9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286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0241272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9F7C28" w:rsidRPr="009F7C28" w:rsidRDefault="0079496C" w:rsidP="009F7C28">
            <w:pPr>
              <w:ind w:left="720"/>
              <w:jc w:val="center"/>
              <w:rPr>
                <w:b/>
                <w:bCs/>
                <w:sz w:val="24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9F7C28" w:rsidRPr="009F7C28">
              <w:rPr>
                <w:b/>
                <w:bCs/>
                <w:sz w:val="24"/>
                <w:lang w:val="lv-LV"/>
              </w:rPr>
              <w:t>Koka izstrādājumu ražošanas tehniķis</w:t>
            </w:r>
          </w:p>
          <w:p w:rsidR="006210AA" w:rsidRPr="00A4405C" w:rsidRDefault="006210AA" w:rsidP="006210AA">
            <w:pPr>
              <w:rPr>
                <w:b/>
                <w:color w:val="002060"/>
                <w:sz w:val="28"/>
                <w:szCs w:val="28"/>
                <w:lang w:val="lv-LV"/>
              </w:rPr>
            </w:pPr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123D2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853229332" w:edGrp="everyone"/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493EB3" w:rsidRDefault="004519E9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0539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5322933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237724078" w:edGrp="everyone"/>
          <w:p w:rsidR="00D07181" w:rsidRPr="00493EB3" w:rsidRDefault="004519E9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999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3772407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:rsidR="00A4405C" w:rsidRPr="004C7BD8" w:rsidRDefault="00E90063" w:rsidP="005F40A8">
            <w:pPr>
              <w:jc w:val="center"/>
              <w:rPr>
                <w:b/>
                <w:sz w:val="24"/>
                <w:szCs w:val="24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951025">
              <w:rPr>
                <w:b/>
                <w:sz w:val="24"/>
                <w:szCs w:val="24"/>
              </w:rPr>
              <w:t>Woodprocessing technician;</w:t>
            </w:r>
          </w:p>
          <w:p w:rsidR="00E90063" w:rsidRPr="00493EB3" w:rsidRDefault="00A4405C" w:rsidP="005F40A8">
            <w:pPr>
              <w:jc w:val="center"/>
              <w:rPr>
                <w:b/>
                <w:vertAlign w:val="subscript"/>
                <w:lang w:val="lv-LV"/>
              </w:rPr>
            </w:pPr>
            <w:r w:rsidRPr="004C7BD8">
              <w:rPr>
                <w:b/>
                <w:sz w:val="24"/>
                <w:szCs w:val="24"/>
              </w:rPr>
              <w:t>Wood Products Manufacturing Technician</w:t>
            </w:r>
            <w:r w:rsidR="005F40A8" w:rsidRPr="004C7BD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8E1C30" w:rsidRPr="00951025" w:rsidRDefault="004C7BD8" w:rsidP="00951025">
            <w:pPr>
              <w:spacing w:before="120"/>
              <w:jc w:val="both"/>
              <w:rPr>
                <w:lang w:val="lv-LV"/>
              </w:rPr>
            </w:pPr>
            <w:r w:rsidRPr="00951025">
              <w:rPr>
                <w:lang w:val="lv-LV"/>
              </w:rPr>
              <w:t xml:space="preserve">Koka izstrādājumu ražošanas tehniķis sagatavo tehnoloģisko dokumentāciju, izvēlas nepieciešamos izejmateriālus, veic koksnes pirmapstrādes, tālākapstrādes un apdares darbus, veic izejmateriālu un gatavās produkcijas kvalitātes pārbaudes. </w:t>
            </w:r>
          </w:p>
          <w:p w:rsidR="008E42E0" w:rsidRPr="00951025" w:rsidRDefault="008E42E0" w:rsidP="00493EB3">
            <w:pPr>
              <w:jc w:val="both"/>
              <w:rPr>
                <w:lang w:val="lv-LV"/>
              </w:rPr>
            </w:pPr>
          </w:p>
          <w:p w:rsidR="00155B7F" w:rsidRPr="00951025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951025">
              <w:rPr>
                <w:color w:val="000000"/>
                <w:lang w:val="lv-LV"/>
              </w:rPr>
              <w:t>Apguvis k</w:t>
            </w:r>
            <w:r w:rsidR="00155B7F" w:rsidRPr="00951025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4C7BD8" w:rsidRPr="00951025" w:rsidRDefault="004C7BD8" w:rsidP="004C7BD8">
            <w:pPr>
              <w:rPr>
                <w:lang w:val="lv-LV"/>
              </w:rPr>
            </w:pPr>
            <w:r w:rsidRPr="00951025">
              <w:rPr>
                <w:lang w:val="lv-LV"/>
              </w:rPr>
              <w:t xml:space="preserve">3.1.Darba aizsardzības un vides aizsardzības prasību ievērošana un pārraudzīšana: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veikt individuālo aizsardzības līdzekļu pārbaudi, novērtējot to atbilstību darba drošības prasībām, un  kontrolēt to lietošanu;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ievērot darba drošības prasības un kontrolēt to ievērošanu;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ievērot ugunsdrošības noteikumu prasības un pārraudzīt to ievērošanu;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ievērot elektrodrošības prasības un kontrolēt to ievērošanu;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23D2">
              <w:rPr>
                <w:lang w:val="lv-LV"/>
              </w:rPr>
              <w:t xml:space="preserve"> </w:t>
            </w:r>
            <w:r w:rsidR="004C7BD8" w:rsidRPr="00951025">
              <w:rPr>
                <w:lang w:val="lv-LV"/>
              </w:rPr>
              <w:t xml:space="preserve">ievērot vides aizsardzību prasības un kontrolēt to ievērošanu;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5123D2">
              <w:rPr>
                <w:lang w:val="lv-LV"/>
              </w:rPr>
              <w:t xml:space="preserve"> </w:t>
            </w:r>
            <w:r w:rsidR="004C7BD8" w:rsidRPr="00951025">
              <w:rPr>
                <w:lang w:val="lv-LV"/>
              </w:rPr>
              <w:t xml:space="preserve">pārzināt LR tiesību aktos noteiktos darba ņēmēja pienākumus un tiesības (darba aizsardzības likumi, darba kodekss u.c.);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sniegt pirmo palīdzību. </w:t>
            </w:r>
          </w:p>
          <w:p w:rsidR="004C7BD8" w:rsidRPr="00951025" w:rsidRDefault="004C7BD8" w:rsidP="004C7BD8">
            <w:pPr>
              <w:rPr>
                <w:lang w:val="lv-LV"/>
              </w:rPr>
            </w:pPr>
          </w:p>
          <w:p w:rsidR="004C7BD8" w:rsidRPr="00951025" w:rsidRDefault="004C7BD8" w:rsidP="004C7BD8">
            <w:pPr>
              <w:rPr>
                <w:lang w:val="lv-LV"/>
              </w:rPr>
            </w:pPr>
            <w:r w:rsidRPr="00951025">
              <w:rPr>
                <w:lang w:val="lv-LV"/>
              </w:rPr>
              <w:t>3.2. Tehniskās dokumentācijas un rasējumu sagatavošana: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iepazīties ar darba uzdevumu;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izstrādāt tehnisko dokumentāciju un rasējumus;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4C7BD8" w:rsidRPr="00951025">
              <w:rPr>
                <w:lang w:val="lv-LV"/>
              </w:rPr>
              <w:t xml:space="preserve">sagatavot programmvadības kokapstrādes darbmašīnu/līniju specializētās programmas;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plānot tehnoloģisko procesu atbilstoši darba uzdevumam. </w:t>
            </w:r>
          </w:p>
          <w:p w:rsidR="004C7BD8" w:rsidRPr="00951025" w:rsidRDefault="004C7BD8" w:rsidP="005123D2">
            <w:pPr>
              <w:rPr>
                <w:lang w:val="lv-LV"/>
              </w:rPr>
            </w:pPr>
          </w:p>
          <w:p w:rsidR="004C7BD8" w:rsidRPr="00951025" w:rsidRDefault="004C7BD8" w:rsidP="004C7BD8">
            <w:pPr>
              <w:rPr>
                <w:lang w:val="lv-LV"/>
              </w:rPr>
            </w:pPr>
            <w:r w:rsidRPr="00951025">
              <w:rPr>
                <w:lang w:val="lv-LV"/>
              </w:rPr>
              <w:t>3.3. Organizēt izejmateriālu un izejvielu noliktavas darbu: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organizēt izejmateriālu un izejvielu uzglabāšanu noliktavā;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 w:rsidR="004C7BD8" w:rsidRPr="00951025">
              <w:rPr>
                <w:lang w:val="lv-LV"/>
              </w:rPr>
              <w:t xml:space="preserve"> uzraudzīt izejmateriālu un izejvielu uzglabāšanas noteikumu ievērošanu noliktavā;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organizēt izejvielu un izejmateriālu piegādi ražošanas posteņiem;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9C6959" w:rsidRPr="00951025">
              <w:rPr>
                <w:lang w:val="lv-LV"/>
              </w:rPr>
              <w:t xml:space="preserve"> </w:t>
            </w:r>
            <w:r w:rsidR="004C7BD8" w:rsidRPr="00951025">
              <w:rPr>
                <w:lang w:val="lv-LV"/>
              </w:rPr>
              <w:t>veikt izejmateriālu un izejvielu atlikumu uzskaiti un kontroli.</w:t>
            </w:r>
          </w:p>
          <w:p w:rsidR="00951025" w:rsidRPr="00951025" w:rsidRDefault="00951025" w:rsidP="005123D2">
            <w:pPr>
              <w:rPr>
                <w:lang w:val="lv-LV"/>
              </w:rPr>
            </w:pPr>
          </w:p>
          <w:p w:rsidR="004C7BD8" w:rsidRPr="00951025" w:rsidRDefault="004C7BD8" w:rsidP="004C7BD8">
            <w:pPr>
              <w:rPr>
                <w:lang w:val="lv-LV"/>
              </w:rPr>
            </w:pPr>
            <w:r w:rsidRPr="00951025">
              <w:rPr>
                <w:lang w:val="lv-LV"/>
              </w:rPr>
              <w:t xml:space="preserve">3.4. Tehnoloģiskā procesa nodrošināšana, uzraudzīšana un kontrolēšana: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plānot un nodrošināt ražošanas galveno tehnoloģisko iekārtu noslogojumu un darbu izpildi;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sagatavot un lietot tehnoloģiskās iekārtas atbilstoši to ekspluatācijas instrukcijām; 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apmācīt darbiniekus strādāt ar programmvadības kokapstrādes darbmašīnām/līnijām un pārējām tehnoloģiskajām iekārtām;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piedalīties esošās tehnoloģijas optimizēšanā un modernizēšanā. </w:t>
            </w:r>
          </w:p>
          <w:p w:rsidR="004C7BD8" w:rsidRPr="00951025" w:rsidRDefault="004C7BD8" w:rsidP="005123D2">
            <w:pPr>
              <w:rPr>
                <w:lang w:val="lv-LV"/>
              </w:rPr>
            </w:pPr>
          </w:p>
          <w:p w:rsidR="004C7BD8" w:rsidRPr="00951025" w:rsidRDefault="004C7BD8" w:rsidP="004C7BD8">
            <w:pPr>
              <w:rPr>
                <w:lang w:val="lv-LV"/>
              </w:rPr>
            </w:pPr>
            <w:r w:rsidRPr="00951025">
              <w:rPr>
                <w:lang w:val="lv-LV"/>
              </w:rPr>
              <w:t>3.5. Kvalitātes kontrolēšana ražošanas procesā un neatbilstību novēršana:</w:t>
            </w:r>
          </w:p>
          <w:p w:rsidR="004C7BD8" w:rsidRPr="00951025" w:rsidRDefault="00BA41FD" w:rsidP="005123D2">
            <w:pPr>
              <w:ind w:left="757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veikt nepieciešamos izstrādājumu kontrolmērījumus un kvalitātes p</w:t>
            </w:r>
            <w:r w:rsidR="005123D2">
              <w:rPr>
                <w:lang w:val="lv-LV"/>
              </w:rPr>
              <w:t xml:space="preserve">ārbaudes noteiktos tehnoloģiskā </w:t>
            </w:r>
            <w:r w:rsidR="004C7BD8" w:rsidRPr="00951025">
              <w:rPr>
                <w:lang w:val="lv-LV"/>
              </w:rPr>
              <w:t xml:space="preserve">procesa posmos;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noteikt ražošanas procesā konstatēto noviržu cēloņus, novērst radušās novirzes;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nodrošināt produkcijas kvalitātes vadības sistēmas procedūras un instrukcijas ievērošanu; </w:t>
            </w:r>
          </w:p>
          <w:p w:rsidR="004C7BD8" w:rsidRPr="00951025" w:rsidRDefault="00BA41FD" w:rsidP="00951025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4C7BD8" w:rsidRPr="00951025">
              <w:rPr>
                <w:lang w:val="lv-LV"/>
              </w:rPr>
              <w:t xml:space="preserve"> piedalīties uzņēmuma kvalitātes vadības sistēmas un produkcijas kvalitātes atbilstības novērtējuma auditos;</w:t>
            </w:r>
          </w:p>
          <w:p w:rsidR="001700AA" w:rsidRPr="00951025" w:rsidRDefault="00BA41FD" w:rsidP="00951025">
            <w:pPr>
              <w:ind w:firstLine="615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4C7BD8" w:rsidRPr="00951025">
              <w:rPr>
                <w:lang w:val="lv-LV"/>
              </w:rPr>
              <w:t>lietot profesionālo žestu valodu un profesionālo terminoloģiju.</w:t>
            </w:r>
          </w:p>
          <w:p w:rsidR="004C7BD8" w:rsidRPr="00951025" w:rsidRDefault="004C7BD8" w:rsidP="004C7BD8">
            <w:pPr>
              <w:jc w:val="both"/>
              <w:rPr>
                <w:lang w:val="lv-LV"/>
              </w:rPr>
            </w:pPr>
          </w:p>
          <w:p w:rsidR="00E03091" w:rsidRPr="00951025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500197286" w:edGrp="everyone"/>
            <w:r w:rsidRPr="00951025">
              <w:rPr>
                <w:color w:val="000000"/>
                <w:lang w:val="lv-LV"/>
              </w:rPr>
              <w:t>Papildu kompetences:</w:t>
            </w:r>
          </w:p>
          <w:p w:rsidR="00E03091" w:rsidRPr="00951025" w:rsidRDefault="00E03091" w:rsidP="00951025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951025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951025" w:rsidRDefault="00E03091" w:rsidP="00951025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951025">
              <w:rPr>
                <w:i/>
                <w:color w:val="1F3864"/>
                <w:lang w:val="lv-LV"/>
              </w:rPr>
              <w:t>...;</w:t>
            </w:r>
          </w:p>
          <w:p w:rsidR="00E03091" w:rsidRPr="00951025" w:rsidRDefault="00E03091" w:rsidP="00951025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951025">
              <w:rPr>
                <w:i/>
                <w:color w:val="000000"/>
                <w:lang w:val="lv-LV"/>
              </w:rPr>
              <w:t>...;</w:t>
            </w:r>
          </w:p>
          <w:p w:rsidR="00E03091" w:rsidRPr="00951025" w:rsidRDefault="00E03091" w:rsidP="00951025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951025">
              <w:rPr>
                <w:i/>
                <w:color w:val="000000"/>
                <w:lang w:val="lv-LV"/>
              </w:rPr>
              <w:t>...</w:t>
            </w:r>
          </w:p>
          <w:permEnd w:id="1500197286"/>
          <w:p w:rsidR="001D0555" w:rsidRPr="00951025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76724A" w:rsidTr="002E235A">
        <w:tc>
          <w:tcPr>
            <w:tcW w:w="10207" w:type="dxa"/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76724A" w:rsidTr="003D5200">
        <w:trPr>
          <w:trHeight w:val="185"/>
        </w:trPr>
        <w:tc>
          <w:tcPr>
            <w:tcW w:w="10207" w:type="dxa"/>
          </w:tcPr>
          <w:p w:rsidR="00E10B19" w:rsidRPr="004C7BD8" w:rsidRDefault="004C7BD8" w:rsidP="00951025">
            <w:pPr>
              <w:spacing w:before="120" w:after="120"/>
              <w:rPr>
                <w:lang w:val="lv-LV"/>
              </w:rPr>
            </w:pPr>
            <w:r w:rsidRPr="004C7BD8">
              <w:rPr>
                <w:lang w:val="lv-LV"/>
              </w:rPr>
              <w:t>Strādāt kokapstrādes un mēbeļu ražotnēs.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123D2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6724A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960372592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960372592"/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76724A" w:rsidTr="003C241F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123D2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951025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7998076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879980762"/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123D2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04806125" w:edGrp="everyone"/>
      <w:tr w:rsidR="00256EA9" w:rsidRPr="0076724A" w:rsidTr="00941AA3">
        <w:trPr>
          <w:trHeight w:val="4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D83E76" w:rsidRDefault="004519E9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0466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F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04806125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15435561" w:edGrp="everyone"/>
          <w:p w:rsidR="00256EA9" w:rsidRPr="00493EB3" w:rsidRDefault="004519E9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01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15435561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927563618" w:edGrp="everyone"/>
          <w:p w:rsidR="00256EA9" w:rsidRPr="00493EB3" w:rsidRDefault="004519E9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446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27563618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53025192" w:edGrp="everyone"/>
          <w:p w:rsidR="00256EA9" w:rsidRPr="00493EB3" w:rsidRDefault="004519E9" w:rsidP="00951025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0296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3025192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35660792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4519E9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9890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A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6607920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123D2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1700AA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701433823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701433823"/>
          <w:p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46905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2307504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62307504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2343125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123431251"/>
          </w:p>
        </w:tc>
      </w:tr>
      <w:tr w:rsidR="00966AC8" w:rsidRPr="00546905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142223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1142223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14305267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143052672"/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1700AA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493EB3" w:rsidRDefault="004519E9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:rsidR="00546905" w:rsidRDefault="0076724A">
            <w:pPr>
              <w:rPr>
                <w:i/>
                <w:lang w:val="lv-LV"/>
              </w:rPr>
            </w:pPr>
            <w:hyperlink r:id="rId12" w:history="1">
              <w:r w:rsidRPr="00190916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:rsidR="0076724A" w:rsidRPr="005123D2" w:rsidRDefault="0076724A">
            <w:pPr>
              <w:rPr>
                <w:i/>
                <w:lang w:val="lv-LV"/>
              </w:rPr>
            </w:pPr>
            <w:bookmarkStart w:id="0" w:name="_GoBack"/>
            <w:bookmarkEnd w:id="0"/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E9" w:rsidRDefault="004519E9">
      <w:r>
        <w:separator/>
      </w:r>
    </w:p>
  </w:endnote>
  <w:endnote w:type="continuationSeparator" w:id="0">
    <w:p w:rsidR="004519E9" w:rsidRDefault="0045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24A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5F40A8" w:rsidRDefault="005F40A8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 w:rsidR="004C7BD8">
      <w:rPr>
        <w:sz w:val="16"/>
        <w:szCs w:val="16"/>
        <w:lang w:val="lv-LV"/>
      </w:rPr>
      <w:t>nosaukums no Latvijas kvalifikācijas datu bāzes</w:t>
    </w:r>
    <w:r>
      <w:rPr>
        <w:sz w:val="16"/>
        <w:szCs w:val="16"/>
        <w:lang w:val="lv-LV"/>
      </w:rPr>
      <w:t xml:space="preserve"> [2019]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E9" w:rsidRDefault="004519E9">
      <w:r>
        <w:separator/>
      </w:r>
    </w:p>
  </w:footnote>
  <w:footnote w:type="continuationSeparator" w:id="0">
    <w:p w:rsidR="004519E9" w:rsidRDefault="0045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0D3556DC"/>
    <w:multiLevelType w:val="hybridMultilevel"/>
    <w:tmpl w:val="1AC68F3C"/>
    <w:lvl w:ilvl="0" w:tplc="04BA8F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 w15:restartNumberingAfterBreak="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5" w15:restartNumberingAfterBreak="0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8" w15:restartNumberingAfterBreak="0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0" w15:restartNumberingAfterBreak="0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2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4" w15:restartNumberingAfterBreak="0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8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9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0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1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2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3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4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5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6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7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8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9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0" w15:restartNumberingAfterBreak="0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3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4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2"/>
  </w:num>
  <w:num w:numId="4">
    <w:abstractNumId w:val="38"/>
  </w:num>
  <w:num w:numId="5">
    <w:abstractNumId w:val="31"/>
  </w:num>
  <w:num w:numId="6">
    <w:abstractNumId w:val="14"/>
  </w:num>
  <w:num w:numId="7">
    <w:abstractNumId w:val="36"/>
  </w:num>
  <w:num w:numId="8">
    <w:abstractNumId w:val="12"/>
  </w:num>
  <w:num w:numId="9">
    <w:abstractNumId w:val="22"/>
  </w:num>
  <w:num w:numId="10">
    <w:abstractNumId w:val="19"/>
  </w:num>
  <w:num w:numId="11">
    <w:abstractNumId w:val="2"/>
  </w:num>
  <w:num w:numId="12">
    <w:abstractNumId w:val="5"/>
  </w:num>
  <w:num w:numId="13">
    <w:abstractNumId w:val="39"/>
  </w:num>
  <w:num w:numId="14">
    <w:abstractNumId w:val="16"/>
  </w:num>
  <w:num w:numId="15">
    <w:abstractNumId w:val="34"/>
  </w:num>
  <w:num w:numId="16">
    <w:abstractNumId w:val="28"/>
  </w:num>
  <w:num w:numId="17">
    <w:abstractNumId w:val="21"/>
  </w:num>
  <w:num w:numId="18">
    <w:abstractNumId w:val="3"/>
  </w:num>
  <w:num w:numId="19">
    <w:abstractNumId w:val="30"/>
  </w:num>
  <w:num w:numId="20">
    <w:abstractNumId w:val="35"/>
  </w:num>
  <w:num w:numId="21">
    <w:abstractNumId w:val="8"/>
  </w:num>
  <w:num w:numId="22">
    <w:abstractNumId w:val="13"/>
  </w:num>
  <w:num w:numId="23">
    <w:abstractNumId w:val="7"/>
  </w:num>
  <w:num w:numId="24">
    <w:abstractNumId w:val="37"/>
  </w:num>
  <w:num w:numId="25">
    <w:abstractNumId w:val="17"/>
  </w:num>
  <w:num w:numId="26">
    <w:abstractNumId w:val="1"/>
  </w:num>
  <w:num w:numId="27">
    <w:abstractNumId w:val="27"/>
  </w:num>
  <w:num w:numId="28">
    <w:abstractNumId w:val="44"/>
  </w:num>
  <w:num w:numId="29">
    <w:abstractNumId w:val="33"/>
  </w:num>
  <w:num w:numId="30">
    <w:abstractNumId w:val="29"/>
  </w:num>
  <w:num w:numId="31">
    <w:abstractNumId w:val="32"/>
  </w:num>
  <w:num w:numId="32">
    <w:abstractNumId w:val="6"/>
  </w:num>
  <w:num w:numId="33">
    <w:abstractNumId w:val="26"/>
  </w:num>
  <w:num w:numId="34">
    <w:abstractNumId w:val="10"/>
  </w:num>
  <w:num w:numId="35">
    <w:abstractNumId w:val="0"/>
  </w:num>
  <w:num w:numId="36">
    <w:abstractNumId w:val="25"/>
  </w:num>
  <w:num w:numId="37">
    <w:abstractNumId w:val="40"/>
  </w:num>
  <w:num w:numId="38">
    <w:abstractNumId w:val="9"/>
  </w:num>
  <w:num w:numId="39">
    <w:abstractNumId w:val="23"/>
  </w:num>
  <w:num w:numId="40">
    <w:abstractNumId w:val="24"/>
  </w:num>
  <w:num w:numId="41">
    <w:abstractNumId w:val="11"/>
  </w:num>
  <w:num w:numId="42">
    <w:abstractNumId w:val="15"/>
  </w:num>
  <w:num w:numId="43">
    <w:abstractNumId w:val="18"/>
  </w:num>
  <w:num w:numId="44">
    <w:abstractNumId w:val="20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LtWzr7FBaY66G4+oanBbxDMQu29pMM3ovRHkabjkKUgJEohq2bpKFshPn2sD0PoB968/o1+EEIHrqXoZec7ug==" w:salt="k5YB9aNx7nMPLFYLtZuu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55B2"/>
    <w:rsid w:val="000211F4"/>
    <w:rsid w:val="0002234C"/>
    <w:rsid w:val="00022F1F"/>
    <w:rsid w:val="0004334C"/>
    <w:rsid w:val="000455A1"/>
    <w:rsid w:val="00052AF1"/>
    <w:rsid w:val="00071BE2"/>
    <w:rsid w:val="000751C3"/>
    <w:rsid w:val="00075434"/>
    <w:rsid w:val="000800ED"/>
    <w:rsid w:val="000860C0"/>
    <w:rsid w:val="00087116"/>
    <w:rsid w:val="00094EC4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3F38"/>
    <w:rsid w:val="00126F36"/>
    <w:rsid w:val="00135B26"/>
    <w:rsid w:val="00143EC3"/>
    <w:rsid w:val="00144467"/>
    <w:rsid w:val="00150C4D"/>
    <w:rsid w:val="00155B7F"/>
    <w:rsid w:val="00161969"/>
    <w:rsid w:val="0016552F"/>
    <w:rsid w:val="00167174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63A5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519E9"/>
    <w:rsid w:val="00461FE0"/>
    <w:rsid w:val="00467BEE"/>
    <w:rsid w:val="00475BD3"/>
    <w:rsid w:val="0048202C"/>
    <w:rsid w:val="0048299F"/>
    <w:rsid w:val="0048742B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3D2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46905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210AA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06B9C"/>
    <w:rsid w:val="00713962"/>
    <w:rsid w:val="00723553"/>
    <w:rsid w:val="007263D0"/>
    <w:rsid w:val="00746FCB"/>
    <w:rsid w:val="0075284B"/>
    <w:rsid w:val="007549E1"/>
    <w:rsid w:val="00760DE4"/>
    <w:rsid w:val="00762D26"/>
    <w:rsid w:val="0076724A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41AA3"/>
    <w:rsid w:val="00951025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9F7C28"/>
    <w:rsid w:val="00A002BE"/>
    <w:rsid w:val="00A008CF"/>
    <w:rsid w:val="00A008EC"/>
    <w:rsid w:val="00A24B8E"/>
    <w:rsid w:val="00A26CFB"/>
    <w:rsid w:val="00A41A55"/>
    <w:rsid w:val="00A4405C"/>
    <w:rsid w:val="00A6163C"/>
    <w:rsid w:val="00A62D1F"/>
    <w:rsid w:val="00A7539B"/>
    <w:rsid w:val="00A81C7B"/>
    <w:rsid w:val="00A91B51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41FD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30F40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E7F12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4EA2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701AA-6612-4750-B84B-8EE4CA7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5C23-B5E2-46F7-994C-A4D7D8CA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976</Words>
  <Characters>5564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6527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11</cp:revision>
  <cp:lastPrinted>2003-10-16T15:04:00Z</cp:lastPrinted>
  <dcterms:created xsi:type="dcterms:W3CDTF">2021-01-04T11:36:00Z</dcterms:created>
  <dcterms:modified xsi:type="dcterms:W3CDTF">2021-01-15T08:40:00Z</dcterms:modified>
</cp:coreProperties>
</file>